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4EFC8" w14:textId="405FD8B7" w:rsidR="009B61F1" w:rsidRPr="006205B4" w:rsidRDefault="006205B4" w:rsidP="006205B4">
      <w:pPr>
        <w:pStyle w:val="Title"/>
      </w:pPr>
      <w:bookmarkStart w:id="0" w:name="_GoBack"/>
      <w:bookmarkEnd w:id="0"/>
      <w:r>
        <w:t>Budget Operations Framework</w:t>
      </w:r>
    </w:p>
    <w:p w14:paraId="105F9BE8" w14:textId="77777777" w:rsidR="00750CBE" w:rsidRDefault="006205B4" w:rsidP="00750CBE">
      <w:pPr>
        <w:pStyle w:val="Subtitle"/>
      </w:pPr>
      <w:r>
        <w:rPr>
          <w:noProof/>
        </w:rPr>
        <w:t>For Victorian Government Departments</w:t>
      </w:r>
    </w:p>
    <w:p w14:paraId="3EECDB5D" w14:textId="1E87E5DB" w:rsidR="00750CBE" w:rsidRPr="00C705F1" w:rsidRDefault="00113958" w:rsidP="00750CBE">
      <w:pPr>
        <w:pStyle w:val="TertiaryTitle"/>
        <w:rPr>
          <w:sz w:val="32"/>
          <w:szCs w:val="32"/>
        </w:rPr>
      </w:pPr>
      <w:r>
        <w:rPr>
          <w:sz w:val="32"/>
          <w:szCs w:val="32"/>
        </w:rPr>
        <w:t xml:space="preserve">Updated </w:t>
      </w:r>
      <w:r w:rsidR="00F845E8" w:rsidRPr="00C705F1">
        <w:rPr>
          <w:sz w:val="32"/>
          <w:szCs w:val="32"/>
        </w:rPr>
        <w:t>February 2017</w:t>
      </w:r>
    </w:p>
    <w:p w14:paraId="1FA84E96" w14:textId="77777777" w:rsidR="00750CBE" w:rsidRDefault="00750CBE">
      <w:r>
        <w:br w:type="page"/>
      </w:r>
    </w:p>
    <w:p w14:paraId="16DB9521" w14:textId="77777777" w:rsidR="00750CBE" w:rsidRDefault="00750CBE" w:rsidP="008D0281">
      <w:pPr>
        <w:pStyle w:val="NormalTight"/>
      </w:pPr>
    </w:p>
    <w:p w14:paraId="00F4D527" w14:textId="77777777" w:rsidR="00750CBE" w:rsidRPr="00C92338" w:rsidRDefault="00750CBE" w:rsidP="00E26B32">
      <w:pPr>
        <w:pStyle w:val="Insidecoverspacer"/>
      </w:pPr>
    </w:p>
    <w:p w14:paraId="4BA1FB8E" w14:textId="77777777" w:rsidR="00750CBE" w:rsidRPr="00C92338" w:rsidRDefault="00750CBE" w:rsidP="008D0281">
      <w:pPr>
        <w:pStyle w:val="NormalTight"/>
      </w:pPr>
      <w:r w:rsidRPr="00C92338">
        <w:t>The Secretary</w:t>
      </w:r>
    </w:p>
    <w:p w14:paraId="203C4DE1" w14:textId="77777777" w:rsidR="00750CBE" w:rsidRPr="00C92338" w:rsidRDefault="00750CBE" w:rsidP="008D0281">
      <w:pPr>
        <w:pStyle w:val="NormalTight"/>
      </w:pPr>
      <w:r w:rsidRPr="00C92338">
        <w:t>Department of Treasury and Finance</w:t>
      </w:r>
    </w:p>
    <w:p w14:paraId="44848721" w14:textId="77777777" w:rsidR="00750CBE" w:rsidRPr="00C92338" w:rsidRDefault="00750CBE" w:rsidP="008D0281">
      <w:pPr>
        <w:pStyle w:val="NormalTight"/>
      </w:pPr>
      <w:r w:rsidRPr="00C92338">
        <w:t>1 Treasury Place</w:t>
      </w:r>
    </w:p>
    <w:p w14:paraId="2B40E763" w14:textId="77777777" w:rsidR="00750CBE" w:rsidRPr="00C92338" w:rsidRDefault="00750CBE" w:rsidP="008D0281">
      <w:pPr>
        <w:pStyle w:val="NormalTight"/>
      </w:pPr>
      <w:r w:rsidRPr="00C92338">
        <w:t>Melbourne Victoria 3002</w:t>
      </w:r>
    </w:p>
    <w:p w14:paraId="73F9981B" w14:textId="77777777" w:rsidR="00750CBE" w:rsidRPr="00C92338" w:rsidRDefault="00750CBE" w:rsidP="008D0281">
      <w:pPr>
        <w:pStyle w:val="NormalTight"/>
      </w:pPr>
      <w:r w:rsidRPr="00C92338">
        <w:t>Australia</w:t>
      </w:r>
    </w:p>
    <w:p w14:paraId="494D272A" w14:textId="77777777" w:rsidR="00750CBE" w:rsidRPr="00C92338" w:rsidRDefault="00750CBE" w:rsidP="008D0281">
      <w:pPr>
        <w:pStyle w:val="NormalTight"/>
      </w:pPr>
      <w:r w:rsidRPr="00C92338">
        <w:t>Telephone: +61 3 9651 5111</w:t>
      </w:r>
    </w:p>
    <w:p w14:paraId="2FE44AB4" w14:textId="77777777" w:rsidR="00750CBE" w:rsidRPr="00C92338" w:rsidRDefault="00750CBE" w:rsidP="008D0281">
      <w:pPr>
        <w:pStyle w:val="NormalTight"/>
      </w:pPr>
      <w:r w:rsidRPr="00C92338">
        <w:t>Facsimile: +61 3 9651 2062</w:t>
      </w:r>
    </w:p>
    <w:p w14:paraId="6412AA10" w14:textId="77777777" w:rsidR="00750CBE" w:rsidRPr="00C92338" w:rsidRDefault="00750CBE" w:rsidP="008D0281">
      <w:pPr>
        <w:pStyle w:val="NormalTight"/>
      </w:pPr>
      <w:r w:rsidRPr="00C92338">
        <w:t>dtf.vic.gov.au</w:t>
      </w:r>
    </w:p>
    <w:p w14:paraId="3B131D60" w14:textId="77777777" w:rsidR="00750CBE" w:rsidRPr="00C92338" w:rsidRDefault="00750CBE" w:rsidP="008D0281">
      <w:pPr>
        <w:pStyle w:val="NormalTight"/>
      </w:pPr>
    </w:p>
    <w:p w14:paraId="675AC57D" w14:textId="77777777" w:rsidR="00750CBE" w:rsidRPr="00C92338" w:rsidRDefault="00750CBE" w:rsidP="008D0281">
      <w:pPr>
        <w:pStyle w:val="NormalTight"/>
      </w:pPr>
      <w:r w:rsidRPr="00C92338">
        <w:t>Authorised by the Victorian Government</w:t>
      </w:r>
    </w:p>
    <w:p w14:paraId="20572F8B" w14:textId="77777777" w:rsidR="00750CBE" w:rsidRPr="00C92338" w:rsidRDefault="00750CBE" w:rsidP="008D0281">
      <w:pPr>
        <w:pStyle w:val="NormalTight"/>
      </w:pPr>
      <w:r w:rsidRPr="00C92338">
        <w:t>1 Treasury Place, Melbourne, 3002</w:t>
      </w:r>
    </w:p>
    <w:p w14:paraId="4BC7A6E3" w14:textId="77777777" w:rsidR="006624F7" w:rsidRDefault="006624F7" w:rsidP="006F6693">
      <w:pPr>
        <w:ind w:right="1826"/>
        <w:rPr>
          <w:rFonts w:cstheme="minorHAnsi"/>
          <w:spacing w:val="0"/>
          <w:sz w:val="19"/>
          <w:szCs w:val="19"/>
        </w:rPr>
      </w:pPr>
    </w:p>
    <w:p w14:paraId="455A1F91" w14:textId="77777777" w:rsidR="006624F7" w:rsidRDefault="006624F7" w:rsidP="006F6693">
      <w:pPr>
        <w:ind w:right="1826"/>
        <w:rPr>
          <w:rFonts w:cstheme="minorHAnsi"/>
          <w:spacing w:val="0"/>
          <w:sz w:val="19"/>
          <w:szCs w:val="19"/>
        </w:rPr>
      </w:pPr>
    </w:p>
    <w:p w14:paraId="2D79D3FF" w14:textId="4465AADE" w:rsidR="00750CBE" w:rsidRPr="00C92338" w:rsidRDefault="003A541A" w:rsidP="006F6693">
      <w:pPr>
        <w:ind w:right="1826"/>
        <w:rPr>
          <w:rFonts w:cstheme="minorHAnsi"/>
          <w:spacing w:val="0"/>
          <w:sz w:val="19"/>
          <w:szCs w:val="19"/>
        </w:rPr>
      </w:pPr>
      <w:r w:rsidRPr="00C92338">
        <w:rPr>
          <w:rFonts w:cstheme="minorHAnsi"/>
          <w:spacing w:val="0"/>
          <w:sz w:val="19"/>
          <w:szCs w:val="19"/>
        </w:rPr>
        <w:t>© State of Victoria 201</w:t>
      </w:r>
      <w:r w:rsidR="00F845E8">
        <w:rPr>
          <w:rFonts w:cstheme="minorHAnsi"/>
          <w:spacing w:val="0"/>
          <w:sz w:val="19"/>
          <w:szCs w:val="19"/>
        </w:rPr>
        <w:t>7</w:t>
      </w:r>
    </w:p>
    <w:p w14:paraId="35C69AB4" w14:textId="77777777"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6E96812A" wp14:editId="1EE6295D">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14:paraId="1F29C6A8" w14:textId="77777777" w:rsidR="00750CBE" w:rsidRPr="00C92338" w:rsidRDefault="00750CBE" w:rsidP="008D0281">
      <w:pPr>
        <w:pStyle w:val="NormalTight"/>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20B6D7A7" w14:textId="77777777" w:rsidR="006F6693" w:rsidRPr="00C92338" w:rsidRDefault="006F6693" w:rsidP="008D0281">
      <w:pPr>
        <w:pStyle w:val="NormalTight"/>
      </w:pPr>
    </w:p>
    <w:p w14:paraId="217BD31F" w14:textId="77777777" w:rsidR="00750CBE" w:rsidRPr="00C92338" w:rsidRDefault="00750CBE" w:rsidP="008D0281">
      <w:pPr>
        <w:pStyle w:val="NormalTight"/>
      </w:pPr>
      <w:r w:rsidRPr="00C92338">
        <w:t xml:space="preserve">Copyright queries may be directed to </w:t>
      </w:r>
      <w:hyperlink r:id="rId12" w:history="1">
        <w:r w:rsidRPr="00C92338">
          <w:rPr>
            <w:rStyle w:val="Hyperlink"/>
            <w:rFonts w:cstheme="minorHAnsi"/>
          </w:rPr>
          <w:t>IPpolicy@dtf.vic.gov.au</w:t>
        </w:r>
      </w:hyperlink>
    </w:p>
    <w:p w14:paraId="265F219B" w14:textId="77777777" w:rsidR="00750CBE" w:rsidRPr="00C92338" w:rsidRDefault="00750CBE" w:rsidP="008D0281">
      <w:pPr>
        <w:pStyle w:val="NormalTight"/>
      </w:pPr>
    </w:p>
    <w:p w14:paraId="2A990CE1" w14:textId="77777777" w:rsidR="00750CBE" w:rsidRPr="00C92338" w:rsidRDefault="00F6504B" w:rsidP="008D0281">
      <w:pPr>
        <w:pStyle w:val="NormalTight"/>
      </w:pPr>
      <w:r>
        <w:t>ISBN 978-1-922222-77</w:t>
      </w:r>
      <w:r w:rsidR="00750CBE" w:rsidRPr="00C92338">
        <w:t>-0</w:t>
      </w:r>
    </w:p>
    <w:p w14:paraId="4C8FD7D9" w14:textId="0AC8E544" w:rsidR="00750CBE" w:rsidRPr="00C92338" w:rsidRDefault="00750CBE" w:rsidP="008D0281">
      <w:pPr>
        <w:pStyle w:val="NormalTight"/>
      </w:pPr>
      <w:r w:rsidRPr="00C92338">
        <w:t xml:space="preserve">Published </w:t>
      </w:r>
      <w:r w:rsidR="00C3692D">
        <w:t>February</w:t>
      </w:r>
      <w:r w:rsidR="001C5891">
        <w:t xml:space="preserve"> 201</w:t>
      </w:r>
      <w:r w:rsidR="00F845E8">
        <w:t>7</w:t>
      </w:r>
    </w:p>
    <w:p w14:paraId="45587DF1" w14:textId="77777777" w:rsidR="00750CBE" w:rsidRPr="00C92338" w:rsidRDefault="00750CBE" w:rsidP="008D0281">
      <w:pPr>
        <w:pStyle w:val="NormalTight"/>
      </w:pPr>
    </w:p>
    <w:p w14:paraId="6EE465C8" w14:textId="77777777" w:rsidR="00750CBE" w:rsidRPr="00C92338" w:rsidRDefault="00750CBE" w:rsidP="008D0281">
      <w:pPr>
        <w:pStyle w:val="NormalTight"/>
      </w:pPr>
      <w:r w:rsidRPr="00C92338">
        <w:t>If you would like to receive this publication in an accessible format please</w:t>
      </w:r>
      <w:r w:rsidR="004335C5">
        <w:t xml:space="preserve"> </w:t>
      </w:r>
      <w:r w:rsidRPr="00C92338">
        <w:t xml:space="preserve">email </w:t>
      </w:r>
      <w:hyperlink r:id="rId13" w:history="1">
        <w:r w:rsidRPr="00C92338">
          <w:t>information@dtf.vic.gov.au</w:t>
        </w:r>
      </w:hyperlink>
      <w:r w:rsidRPr="00C92338">
        <w:t xml:space="preserve"> </w:t>
      </w:r>
    </w:p>
    <w:p w14:paraId="4B21A4B0" w14:textId="77777777" w:rsidR="006F6693" w:rsidRPr="00C92338" w:rsidRDefault="006F6693" w:rsidP="008D0281">
      <w:pPr>
        <w:pStyle w:val="NormalTight"/>
      </w:pPr>
    </w:p>
    <w:p w14:paraId="64B7D7AA" w14:textId="77777777" w:rsidR="00750CBE" w:rsidRPr="00C92338" w:rsidRDefault="00750CBE" w:rsidP="008D0281">
      <w:pPr>
        <w:pStyle w:val="NormalTight"/>
      </w:pPr>
      <w:r w:rsidRPr="00C92338">
        <w:t xml:space="preserve">This document is also available in Word and PDF format at </w:t>
      </w:r>
      <w:hyperlink r:id="rId14" w:history="1">
        <w:r w:rsidRPr="00C92338">
          <w:rPr>
            <w:rStyle w:val="Hyperlink"/>
          </w:rPr>
          <w:t>dtf.vic.gov.au</w:t>
        </w:r>
      </w:hyperlink>
    </w:p>
    <w:p w14:paraId="7BD98BE4" w14:textId="77777777" w:rsidR="00750CBE" w:rsidRPr="00C92338" w:rsidRDefault="00750CBE" w:rsidP="00D2312F">
      <w:pPr>
        <w:rPr>
          <w:spacing w:val="0"/>
          <w:sz w:val="19"/>
          <w:szCs w:val="19"/>
        </w:rPr>
      </w:pPr>
    </w:p>
    <w:p w14:paraId="63D8A2B0" w14:textId="77777777" w:rsidR="00750CBE" w:rsidRDefault="00750CBE" w:rsidP="00D2312F">
      <w:pPr>
        <w:sectPr w:rsidR="00750CBE" w:rsidSect="00A63ED1">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461" w:gutter="0"/>
          <w:pgNumType w:fmt="lowerRoman" w:start="1"/>
          <w:cols w:space="708"/>
          <w:docGrid w:linePitch="360"/>
        </w:sectPr>
      </w:pPr>
    </w:p>
    <w:p w14:paraId="08E61355" w14:textId="77777777" w:rsidR="00750CBE" w:rsidRDefault="00D44953" w:rsidP="00986AAC">
      <w:pPr>
        <w:pStyle w:val="TOCHeading"/>
      </w:pPr>
      <w:r>
        <w:lastRenderedPageBreak/>
        <w:t>Contents</w:t>
      </w:r>
    </w:p>
    <w:p w14:paraId="200D6A2B" w14:textId="77777777" w:rsidR="00D92463" w:rsidRDefault="00CD3D1B">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w:instrText>
      </w:r>
      <w:r w:rsidR="001B6E62">
        <w:rPr>
          <w:noProof/>
          <w:color w:val="404040"/>
          <w:sz w:val="28"/>
          <w:szCs w:val="28"/>
          <w:lang w:eastAsia="en-US"/>
        </w:rPr>
        <w:instrText xml:space="preserve"> </w:instrText>
      </w:r>
      <w:r w:rsidR="00E2791B">
        <w:rPr>
          <w:noProof/>
          <w:color w:val="404040"/>
          <w:sz w:val="28"/>
          <w:szCs w:val="28"/>
          <w:lang w:eastAsia="en-US"/>
        </w:rPr>
        <w:instrText xml:space="preserve">Heading 2,2, </w:instrText>
      </w:r>
      <w:r>
        <w:rPr>
          <w:noProof/>
          <w:color w:val="404040"/>
          <w:sz w:val="28"/>
          <w:szCs w:val="28"/>
          <w:lang w:eastAsia="en-US"/>
        </w:rPr>
        <w:instrText xml:space="preserve">Heading 1 numbered,4,Heading 2 numbered,5,Heading 3 numbered,6" </w:instrText>
      </w:r>
      <w:r>
        <w:rPr>
          <w:noProof/>
          <w:color w:val="404040"/>
          <w:sz w:val="28"/>
          <w:szCs w:val="28"/>
          <w:lang w:eastAsia="en-US"/>
        </w:rPr>
        <w:fldChar w:fldCharType="separate"/>
      </w:r>
      <w:hyperlink w:anchor="_Toc476658072" w:history="1">
        <w:r w:rsidR="00D92463" w:rsidRPr="006072D5">
          <w:rPr>
            <w:rStyle w:val="Hyperlink"/>
            <w:noProof/>
          </w:rPr>
          <w:t>Introduction</w:t>
        </w:r>
        <w:r w:rsidR="00D92463">
          <w:rPr>
            <w:noProof/>
            <w:webHidden/>
          </w:rPr>
          <w:tab/>
        </w:r>
        <w:r w:rsidR="00D92463">
          <w:rPr>
            <w:noProof/>
            <w:webHidden/>
          </w:rPr>
          <w:fldChar w:fldCharType="begin"/>
        </w:r>
        <w:r w:rsidR="00D92463">
          <w:rPr>
            <w:noProof/>
            <w:webHidden/>
          </w:rPr>
          <w:instrText xml:space="preserve"> PAGEREF _Toc476658072 \h </w:instrText>
        </w:r>
        <w:r w:rsidR="00D92463">
          <w:rPr>
            <w:noProof/>
            <w:webHidden/>
          </w:rPr>
        </w:r>
        <w:r w:rsidR="00D92463">
          <w:rPr>
            <w:noProof/>
            <w:webHidden/>
          </w:rPr>
          <w:fldChar w:fldCharType="separate"/>
        </w:r>
        <w:r w:rsidR="002536F9">
          <w:rPr>
            <w:noProof/>
            <w:webHidden/>
          </w:rPr>
          <w:t>1</w:t>
        </w:r>
        <w:r w:rsidR="00D92463">
          <w:rPr>
            <w:noProof/>
            <w:webHidden/>
          </w:rPr>
          <w:fldChar w:fldCharType="end"/>
        </w:r>
      </w:hyperlink>
    </w:p>
    <w:p w14:paraId="3DAEB6AF" w14:textId="77777777" w:rsidR="00D92463" w:rsidRDefault="000A3679">
      <w:pPr>
        <w:pStyle w:val="TOC2"/>
        <w:rPr>
          <w:spacing w:val="0"/>
          <w:sz w:val="22"/>
          <w:szCs w:val="22"/>
        </w:rPr>
      </w:pPr>
      <w:hyperlink w:anchor="_Toc476658073" w:history="1">
        <w:r w:rsidR="00D92463" w:rsidRPr="006072D5">
          <w:rPr>
            <w:rStyle w:val="Hyperlink"/>
          </w:rPr>
          <w:t>Purpose</w:t>
        </w:r>
        <w:r w:rsidR="00D92463">
          <w:rPr>
            <w:webHidden/>
          </w:rPr>
          <w:tab/>
        </w:r>
        <w:r w:rsidR="00D92463">
          <w:rPr>
            <w:webHidden/>
          </w:rPr>
          <w:fldChar w:fldCharType="begin"/>
        </w:r>
        <w:r w:rsidR="00D92463">
          <w:rPr>
            <w:webHidden/>
          </w:rPr>
          <w:instrText xml:space="preserve"> PAGEREF _Toc476658073 \h </w:instrText>
        </w:r>
        <w:r w:rsidR="00D92463">
          <w:rPr>
            <w:webHidden/>
          </w:rPr>
        </w:r>
        <w:r w:rsidR="00D92463">
          <w:rPr>
            <w:webHidden/>
          </w:rPr>
          <w:fldChar w:fldCharType="separate"/>
        </w:r>
        <w:r w:rsidR="002536F9">
          <w:rPr>
            <w:webHidden/>
          </w:rPr>
          <w:t>1</w:t>
        </w:r>
        <w:r w:rsidR="00D92463">
          <w:rPr>
            <w:webHidden/>
          </w:rPr>
          <w:fldChar w:fldCharType="end"/>
        </w:r>
      </w:hyperlink>
    </w:p>
    <w:p w14:paraId="72A320DA" w14:textId="77777777" w:rsidR="00D92463" w:rsidRDefault="000A3679">
      <w:pPr>
        <w:pStyle w:val="TOC2"/>
        <w:rPr>
          <w:spacing w:val="0"/>
          <w:sz w:val="22"/>
          <w:szCs w:val="22"/>
        </w:rPr>
      </w:pPr>
      <w:hyperlink w:anchor="_Toc476658074" w:history="1">
        <w:r w:rsidR="00D92463" w:rsidRPr="006072D5">
          <w:rPr>
            <w:rStyle w:val="Hyperlink"/>
          </w:rPr>
          <w:t>Legal status</w:t>
        </w:r>
        <w:r w:rsidR="00D92463">
          <w:rPr>
            <w:webHidden/>
          </w:rPr>
          <w:tab/>
        </w:r>
        <w:r w:rsidR="00D92463">
          <w:rPr>
            <w:webHidden/>
          </w:rPr>
          <w:fldChar w:fldCharType="begin"/>
        </w:r>
        <w:r w:rsidR="00D92463">
          <w:rPr>
            <w:webHidden/>
          </w:rPr>
          <w:instrText xml:space="preserve"> PAGEREF _Toc476658074 \h </w:instrText>
        </w:r>
        <w:r w:rsidR="00D92463">
          <w:rPr>
            <w:webHidden/>
          </w:rPr>
        </w:r>
        <w:r w:rsidR="00D92463">
          <w:rPr>
            <w:webHidden/>
          </w:rPr>
          <w:fldChar w:fldCharType="separate"/>
        </w:r>
        <w:r w:rsidR="002536F9">
          <w:rPr>
            <w:webHidden/>
          </w:rPr>
          <w:t>1</w:t>
        </w:r>
        <w:r w:rsidR="00D92463">
          <w:rPr>
            <w:webHidden/>
          </w:rPr>
          <w:fldChar w:fldCharType="end"/>
        </w:r>
      </w:hyperlink>
    </w:p>
    <w:p w14:paraId="77303DC2" w14:textId="77777777" w:rsidR="00D92463" w:rsidRDefault="000A3679">
      <w:pPr>
        <w:pStyle w:val="TOC2"/>
        <w:rPr>
          <w:spacing w:val="0"/>
          <w:sz w:val="22"/>
          <w:szCs w:val="22"/>
        </w:rPr>
      </w:pPr>
      <w:hyperlink w:anchor="_Toc476658075" w:history="1">
        <w:r w:rsidR="00D92463" w:rsidRPr="006072D5">
          <w:rPr>
            <w:rStyle w:val="Hyperlink"/>
          </w:rPr>
          <w:t>Application and compliance</w:t>
        </w:r>
        <w:r w:rsidR="00D92463">
          <w:rPr>
            <w:webHidden/>
          </w:rPr>
          <w:tab/>
        </w:r>
        <w:r w:rsidR="00D92463">
          <w:rPr>
            <w:webHidden/>
          </w:rPr>
          <w:fldChar w:fldCharType="begin"/>
        </w:r>
        <w:r w:rsidR="00D92463">
          <w:rPr>
            <w:webHidden/>
          </w:rPr>
          <w:instrText xml:space="preserve"> PAGEREF _Toc476658075 \h </w:instrText>
        </w:r>
        <w:r w:rsidR="00D92463">
          <w:rPr>
            <w:webHidden/>
          </w:rPr>
        </w:r>
        <w:r w:rsidR="00D92463">
          <w:rPr>
            <w:webHidden/>
          </w:rPr>
          <w:fldChar w:fldCharType="separate"/>
        </w:r>
        <w:r w:rsidR="002536F9">
          <w:rPr>
            <w:webHidden/>
          </w:rPr>
          <w:t>2</w:t>
        </w:r>
        <w:r w:rsidR="00D92463">
          <w:rPr>
            <w:webHidden/>
          </w:rPr>
          <w:fldChar w:fldCharType="end"/>
        </w:r>
      </w:hyperlink>
    </w:p>
    <w:p w14:paraId="10BE3158" w14:textId="77777777" w:rsidR="00D92463" w:rsidRDefault="000A3679">
      <w:pPr>
        <w:pStyle w:val="TOC2"/>
        <w:rPr>
          <w:spacing w:val="0"/>
          <w:sz w:val="22"/>
          <w:szCs w:val="22"/>
        </w:rPr>
      </w:pPr>
      <w:hyperlink w:anchor="_Toc476658076" w:history="1">
        <w:r w:rsidR="00D92463" w:rsidRPr="006072D5">
          <w:rPr>
            <w:rStyle w:val="Hyperlink"/>
          </w:rPr>
          <w:t>Commencement, DTF role and currency</w:t>
        </w:r>
        <w:r w:rsidR="00D92463">
          <w:rPr>
            <w:webHidden/>
          </w:rPr>
          <w:tab/>
        </w:r>
        <w:r w:rsidR="00D92463">
          <w:rPr>
            <w:webHidden/>
          </w:rPr>
          <w:fldChar w:fldCharType="begin"/>
        </w:r>
        <w:r w:rsidR="00D92463">
          <w:rPr>
            <w:webHidden/>
          </w:rPr>
          <w:instrText xml:space="preserve"> PAGEREF _Toc476658076 \h </w:instrText>
        </w:r>
        <w:r w:rsidR="00D92463">
          <w:rPr>
            <w:webHidden/>
          </w:rPr>
        </w:r>
        <w:r w:rsidR="00D92463">
          <w:rPr>
            <w:webHidden/>
          </w:rPr>
          <w:fldChar w:fldCharType="separate"/>
        </w:r>
        <w:r w:rsidR="002536F9">
          <w:rPr>
            <w:webHidden/>
          </w:rPr>
          <w:t>2</w:t>
        </w:r>
        <w:r w:rsidR="00D92463">
          <w:rPr>
            <w:webHidden/>
          </w:rPr>
          <w:fldChar w:fldCharType="end"/>
        </w:r>
      </w:hyperlink>
    </w:p>
    <w:p w14:paraId="6B77A5CD" w14:textId="77777777" w:rsidR="00D92463" w:rsidRDefault="000A3679">
      <w:pPr>
        <w:pStyle w:val="TOC2"/>
        <w:rPr>
          <w:spacing w:val="0"/>
          <w:sz w:val="22"/>
          <w:szCs w:val="22"/>
        </w:rPr>
      </w:pPr>
      <w:hyperlink w:anchor="_Toc476658077" w:history="1">
        <w:r w:rsidR="00D92463" w:rsidRPr="006072D5">
          <w:rPr>
            <w:rStyle w:val="Hyperlink"/>
          </w:rPr>
          <w:t>Structure</w:t>
        </w:r>
        <w:r w:rsidR="00D92463">
          <w:rPr>
            <w:webHidden/>
          </w:rPr>
          <w:tab/>
        </w:r>
        <w:r w:rsidR="00D92463">
          <w:rPr>
            <w:webHidden/>
          </w:rPr>
          <w:fldChar w:fldCharType="begin"/>
        </w:r>
        <w:r w:rsidR="00D92463">
          <w:rPr>
            <w:webHidden/>
          </w:rPr>
          <w:instrText xml:space="preserve"> PAGEREF _Toc476658077 \h </w:instrText>
        </w:r>
        <w:r w:rsidR="00D92463">
          <w:rPr>
            <w:webHidden/>
          </w:rPr>
        </w:r>
        <w:r w:rsidR="00D92463">
          <w:rPr>
            <w:webHidden/>
          </w:rPr>
          <w:fldChar w:fldCharType="separate"/>
        </w:r>
        <w:r w:rsidR="002536F9">
          <w:rPr>
            <w:webHidden/>
          </w:rPr>
          <w:t>3</w:t>
        </w:r>
        <w:r w:rsidR="00D92463">
          <w:rPr>
            <w:webHidden/>
          </w:rPr>
          <w:fldChar w:fldCharType="end"/>
        </w:r>
      </w:hyperlink>
    </w:p>
    <w:p w14:paraId="6820A973" w14:textId="77777777" w:rsidR="00D92463" w:rsidRDefault="000A3679">
      <w:pPr>
        <w:pStyle w:val="TOC1"/>
        <w:rPr>
          <w:noProof/>
          <w:spacing w:val="0"/>
          <w:sz w:val="22"/>
          <w:szCs w:val="22"/>
        </w:rPr>
      </w:pPr>
      <w:hyperlink w:anchor="_Toc476658078" w:history="1">
        <w:r w:rsidR="00D92463" w:rsidRPr="006072D5">
          <w:rPr>
            <w:rStyle w:val="Hyperlink"/>
            <w:noProof/>
          </w:rPr>
          <w:t>Definitions</w:t>
        </w:r>
        <w:r w:rsidR="00D92463">
          <w:rPr>
            <w:noProof/>
            <w:webHidden/>
          </w:rPr>
          <w:tab/>
        </w:r>
        <w:r w:rsidR="00D92463">
          <w:rPr>
            <w:noProof/>
            <w:webHidden/>
          </w:rPr>
          <w:fldChar w:fldCharType="begin"/>
        </w:r>
        <w:r w:rsidR="00D92463">
          <w:rPr>
            <w:noProof/>
            <w:webHidden/>
          </w:rPr>
          <w:instrText xml:space="preserve"> PAGEREF _Toc476658078 \h </w:instrText>
        </w:r>
        <w:r w:rsidR="00D92463">
          <w:rPr>
            <w:noProof/>
            <w:webHidden/>
          </w:rPr>
        </w:r>
        <w:r w:rsidR="00D92463">
          <w:rPr>
            <w:noProof/>
            <w:webHidden/>
          </w:rPr>
          <w:fldChar w:fldCharType="separate"/>
        </w:r>
        <w:r w:rsidR="002536F9">
          <w:rPr>
            <w:noProof/>
            <w:webHidden/>
          </w:rPr>
          <w:t>4</w:t>
        </w:r>
        <w:r w:rsidR="00D92463">
          <w:rPr>
            <w:noProof/>
            <w:webHidden/>
          </w:rPr>
          <w:fldChar w:fldCharType="end"/>
        </w:r>
      </w:hyperlink>
    </w:p>
    <w:p w14:paraId="481183E8" w14:textId="77777777" w:rsidR="00D92463" w:rsidRDefault="000A3679">
      <w:pPr>
        <w:pStyle w:val="TOC1"/>
        <w:rPr>
          <w:noProof/>
          <w:spacing w:val="0"/>
          <w:sz w:val="22"/>
          <w:szCs w:val="22"/>
        </w:rPr>
      </w:pPr>
      <w:hyperlink w:anchor="_Toc476658079" w:history="1">
        <w:r w:rsidR="00D92463" w:rsidRPr="006072D5">
          <w:rPr>
            <w:rStyle w:val="Hyperlink"/>
            <w:noProof/>
          </w:rPr>
          <w:t>Setting the context for the State’s Budget</w:t>
        </w:r>
        <w:r w:rsidR="00D92463">
          <w:rPr>
            <w:noProof/>
            <w:webHidden/>
          </w:rPr>
          <w:tab/>
        </w:r>
        <w:r w:rsidR="00D92463">
          <w:rPr>
            <w:noProof/>
            <w:webHidden/>
          </w:rPr>
          <w:fldChar w:fldCharType="begin"/>
        </w:r>
        <w:r w:rsidR="00D92463">
          <w:rPr>
            <w:noProof/>
            <w:webHidden/>
          </w:rPr>
          <w:instrText xml:space="preserve"> PAGEREF _Toc476658079 \h </w:instrText>
        </w:r>
        <w:r w:rsidR="00D92463">
          <w:rPr>
            <w:noProof/>
            <w:webHidden/>
          </w:rPr>
        </w:r>
        <w:r w:rsidR="00D92463">
          <w:rPr>
            <w:noProof/>
            <w:webHidden/>
          </w:rPr>
          <w:fldChar w:fldCharType="separate"/>
        </w:r>
        <w:r w:rsidR="002536F9">
          <w:rPr>
            <w:noProof/>
            <w:webHidden/>
          </w:rPr>
          <w:t>7</w:t>
        </w:r>
        <w:r w:rsidR="00D92463">
          <w:rPr>
            <w:noProof/>
            <w:webHidden/>
          </w:rPr>
          <w:fldChar w:fldCharType="end"/>
        </w:r>
      </w:hyperlink>
    </w:p>
    <w:p w14:paraId="62FE4108" w14:textId="77777777" w:rsidR="00D92463" w:rsidRDefault="000A3679">
      <w:pPr>
        <w:pStyle w:val="TOC1"/>
        <w:rPr>
          <w:noProof/>
          <w:spacing w:val="0"/>
          <w:sz w:val="22"/>
          <w:szCs w:val="22"/>
        </w:rPr>
      </w:pPr>
      <w:hyperlink w:anchor="_Toc476658080" w:history="1">
        <w:r w:rsidR="00D92463" w:rsidRPr="006072D5">
          <w:rPr>
            <w:rStyle w:val="Hyperlink"/>
            <w:noProof/>
          </w:rPr>
          <w:t>The legislation supporting the State’s resource management framework</w:t>
        </w:r>
        <w:r w:rsidR="00D92463">
          <w:rPr>
            <w:noProof/>
            <w:webHidden/>
          </w:rPr>
          <w:tab/>
        </w:r>
        <w:r w:rsidR="00D92463">
          <w:rPr>
            <w:noProof/>
            <w:webHidden/>
          </w:rPr>
          <w:fldChar w:fldCharType="begin"/>
        </w:r>
        <w:r w:rsidR="00D92463">
          <w:rPr>
            <w:noProof/>
            <w:webHidden/>
          </w:rPr>
          <w:instrText xml:space="preserve"> PAGEREF _Toc476658080 \h </w:instrText>
        </w:r>
        <w:r w:rsidR="00D92463">
          <w:rPr>
            <w:noProof/>
            <w:webHidden/>
          </w:rPr>
        </w:r>
        <w:r w:rsidR="00D92463">
          <w:rPr>
            <w:noProof/>
            <w:webHidden/>
          </w:rPr>
          <w:fldChar w:fldCharType="separate"/>
        </w:r>
        <w:r w:rsidR="002536F9">
          <w:rPr>
            <w:noProof/>
            <w:webHidden/>
          </w:rPr>
          <w:t>9</w:t>
        </w:r>
        <w:r w:rsidR="00D92463">
          <w:rPr>
            <w:noProof/>
            <w:webHidden/>
          </w:rPr>
          <w:fldChar w:fldCharType="end"/>
        </w:r>
      </w:hyperlink>
    </w:p>
    <w:p w14:paraId="4F11C35F" w14:textId="77777777" w:rsidR="00D92463" w:rsidRDefault="000A3679">
      <w:pPr>
        <w:pStyle w:val="TOC1"/>
        <w:rPr>
          <w:noProof/>
          <w:spacing w:val="0"/>
          <w:sz w:val="22"/>
          <w:szCs w:val="22"/>
        </w:rPr>
      </w:pPr>
      <w:hyperlink w:anchor="_Toc476658081" w:history="1">
        <w:r w:rsidR="00D92463" w:rsidRPr="006072D5">
          <w:rPr>
            <w:rStyle w:val="Hyperlink"/>
            <w:noProof/>
          </w:rPr>
          <w:t>The State’s appropriation framework</w:t>
        </w:r>
        <w:r w:rsidR="00D92463">
          <w:rPr>
            <w:noProof/>
            <w:webHidden/>
          </w:rPr>
          <w:tab/>
        </w:r>
        <w:r w:rsidR="00D92463">
          <w:rPr>
            <w:noProof/>
            <w:webHidden/>
          </w:rPr>
          <w:fldChar w:fldCharType="begin"/>
        </w:r>
        <w:r w:rsidR="00D92463">
          <w:rPr>
            <w:noProof/>
            <w:webHidden/>
          </w:rPr>
          <w:instrText xml:space="preserve"> PAGEREF _Toc476658081 \h </w:instrText>
        </w:r>
        <w:r w:rsidR="00D92463">
          <w:rPr>
            <w:noProof/>
            <w:webHidden/>
          </w:rPr>
        </w:r>
        <w:r w:rsidR="00D92463">
          <w:rPr>
            <w:noProof/>
            <w:webHidden/>
          </w:rPr>
          <w:fldChar w:fldCharType="separate"/>
        </w:r>
        <w:r w:rsidR="002536F9">
          <w:rPr>
            <w:noProof/>
            <w:webHidden/>
          </w:rPr>
          <w:t>12</w:t>
        </w:r>
        <w:r w:rsidR="00D92463">
          <w:rPr>
            <w:noProof/>
            <w:webHidden/>
          </w:rPr>
          <w:fldChar w:fldCharType="end"/>
        </w:r>
      </w:hyperlink>
    </w:p>
    <w:p w14:paraId="7780E9D3" w14:textId="77777777" w:rsidR="00D92463" w:rsidRDefault="000A3679">
      <w:pPr>
        <w:pStyle w:val="TOC2"/>
        <w:rPr>
          <w:spacing w:val="0"/>
          <w:sz w:val="22"/>
          <w:szCs w:val="22"/>
        </w:rPr>
      </w:pPr>
      <w:hyperlink w:anchor="_Toc476658082" w:history="1">
        <w:r w:rsidR="00D92463" w:rsidRPr="006072D5">
          <w:rPr>
            <w:rStyle w:val="Hyperlink"/>
          </w:rPr>
          <w:t>The framework at a glance</w:t>
        </w:r>
        <w:r w:rsidR="00D92463">
          <w:rPr>
            <w:webHidden/>
          </w:rPr>
          <w:tab/>
        </w:r>
        <w:r w:rsidR="00D92463">
          <w:rPr>
            <w:webHidden/>
          </w:rPr>
          <w:fldChar w:fldCharType="begin"/>
        </w:r>
        <w:r w:rsidR="00D92463">
          <w:rPr>
            <w:webHidden/>
          </w:rPr>
          <w:instrText xml:space="preserve"> PAGEREF _Toc476658082 \h </w:instrText>
        </w:r>
        <w:r w:rsidR="00D92463">
          <w:rPr>
            <w:webHidden/>
          </w:rPr>
        </w:r>
        <w:r w:rsidR="00D92463">
          <w:rPr>
            <w:webHidden/>
          </w:rPr>
          <w:fldChar w:fldCharType="separate"/>
        </w:r>
        <w:r w:rsidR="002536F9">
          <w:rPr>
            <w:webHidden/>
          </w:rPr>
          <w:t>12</w:t>
        </w:r>
        <w:r w:rsidR="00D92463">
          <w:rPr>
            <w:webHidden/>
          </w:rPr>
          <w:fldChar w:fldCharType="end"/>
        </w:r>
      </w:hyperlink>
    </w:p>
    <w:p w14:paraId="27974D73" w14:textId="77777777" w:rsidR="00D92463" w:rsidRDefault="000A3679">
      <w:pPr>
        <w:pStyle w:val="TOC2"/>
        <w:rPr>
          <w:spacing w:val="0"/>
          <w:sz w:val="22"/>
          <w:szCs w:val="22"/>
        </w:rPr>
      </w:pPr>
      <w:hyperlink w:anchor="_Toc476658083" w:history="1">
        <w:r w:rsidR="00D92463" w:rsidRPr="006072D5">
          <w:rPr>
            <w:rStyle w:val="Hyperlink"/>
          </w:rPr>
          <w:t>General framework concepts</w:t>
        </w:r>
        <w:r w:rsidR="00D92463">
          <w:rPr>
            <w:webHidden/>
          </w:rPr>
          <w:tab/>
        </w:r>
        <w:r w:rsidR="00D92463">
          <w:rPr>
            <w:webHidden/>
          </w:rPr>
          <w:fldChar w:fldCharType="begin"/>
        </w:r>
        <w:r w:rsidR="00D92463">
          <w:rPr>
            <w:webHidden/>
          </w:rPr>
          <w:instrText xml:space="preserve"> PAGEREF _Toc476658083 \h </w:instrText>
        </w:r>
        <w:r w:rsidR="00D92463">
          <w:rPr>
            <w:webHidden/>
          </w:rPr>
        </w:r>
        <w:r w:rsidR="00D92463">
          <w:rPr>
            <w:webHidden/>
          </w:rPr>
          <w:fldChar w:fldCharType="separate"/>
        </w:r>
        <w:r w:rsidR="002536F9">
          <w:rPr>
            <w:webHidden/>
          </w:rPr>
          <w:t>16</w:t>
        </w:r>
        <w:r w:rsidR="00D92463">
          <w:rPr>
            <w:webHidden/>
          </w:rPr>
          <w:fldChar w:fldCharType="end"/>
        </w:r>
      </w:hyperlink>
    </w:p>
    <w:p w14:paraId="7282E9C0" w14:textId="77777777" w:rsidR="00D92463" w:rsidRDefault="000A3679">
      <w:pPr>
        <w:pStyle w:val="TOC4"/>
        <w:rPr>
          <w:spacing w:val="0"/>
          <w:sz w:val="22"/>
          <w:szCs w:val="22"/>
          <w:lang w:eastAsia="en-AU"/>
        </w:rPr>
      </w:pPr>
      <w:hyperlink w:anchor="_Toc476658084" w:history="1">
        <w:r w:rsidR="00D92463" w:rsidRPr="006072D5">
          <w:rPr>
            <w:rStyle w:val="Hyperlink"/>
          </w:rPr>
          <w:t>1.</w:t>
        </w:r>
        <w:r w:rsidR="00D92463">
          <w:rPr>
            <w:spacing w:val="0"/>
            <w:sz w:val="22"/>
            <w:szCs w:val="22"/>
            <w:lang w:eastAsia="en-AU"/>
          </w:rPr>
          <w:tab/>
        </w:r>
        <w:r w:rsidR="00D92463" w:rsidRPr="006072D5">
          <w:rPr>
            <w:rStyle w:val="Hyperlink"/>
          </w:rPr>
          <w:t>Mechanisms available to manage departmental funding levels</w:t>
        </w:r>
        <w:r w:rsidR="00D92463">
          <w:rPr>
            <w:webHidden/>
          </w:rPr>
          <w:tab/>
        </w:r>
        <w:r w:rsidR="00D92463">
          <w:rPr>
            <w:webHidden/>
          </w:rPr>
          <w:fldChar w:fldCharType="begin"/>
        </w:r>
        <w:r w:rsidR="00D92463">
          <w:rPr>
            <w:webHidden/>
          </w:rPr>
          <w:instrText xml:space="preserve"> PAGEREF _Toc476658084 \h </w:instrText>
        </w:r>
        <w:r w:rsidR="00D92463">
          <w:rPr>
            <w:webHidden/>
          </w:rPr>
        </w:r>
        <w:r w:rsidR="00D92463">
          <w:rPr>
            <w:webHidden/>
          </w:rPr>
          <w:fldChar w:fldCharType="separate"/>
        </w:r>
        <w:r w:rsidR="002536F9">
          <w:rPr>
            <w:webHidden/>
          </w:rPr>
          <w:t>17</w:t>
        </w:r>
        <w:r w:rsidR="00D92463">
          <w:rPr>
            <w:webHidden/>
          </w:rPr>
          <w:fldChar w:fldCharType="end"/>
        </w:r>
      </w:hyperlink>
    </w:p>
    <w:p w14:paraId="234E54B3" w14:textId="77777777" w:rsidR="00D92463" w:rsidRDefault="000A3679">
      <w:pPr>
        <w:pStyle w:val="TOC5"/>
        <w:tabs>
          <w:tab w:val="left" w:pos="1080"/>
        </w:tabs>
        <w:rPr>
          <w:spacing w:val="0"/>
          <w:sz w:val="22"/>
          <w:szCs w:val="22"/>
          <w:lang w:eastAsia="en-AU"/>
        </w:rPr>
      </w:pPr>
      <w:hyperlink w:anchor="_Toc476658085" w:history="1">
        <w:r w:rsidR="00D92463" w:rsidRPr="006072D5">
          <w:rPr>
            <w:rStyle w:val="Hyperlink"/>
          </w:rPr>
          <w:t>1.1</w:t>
        </w:r>
        <w:r w:rsidR="00D92463">
          <w:rPr>
            <w:spacing w:val="0"/>
            <w:sz w:val="22"/>
            <w:szCs w:val="22"/>
            <w:lang w:eastAsia="en-AU"/>
          </w:rPr>
          <w:tab/>
        </w:r>
        <w:r w:rsidR="00D92463" w:rsidRPr="006072D5">
          <w:rPr>
            <w:rStyle w:val="Hyperlink"/>
          </w:rPr>
          <w:t>Appropriation of certain revenue and asset proceeds – section 29 of the FMA</w:t>
        </w:r>
        <w:r w:rsidR="00D92463">
          <w:rPr>
            <w:webHidden/>
          </w:rPr>
          <w:tab/>
        </w:r>
        <w:r w:rsidR="00D92463">
          <w:rPr>
            <w:webHidden/>
          </w:rPr>
          <w:fldChar w:fldCharType="begin"/>
        </w:r>
        <w:r w:rsidR="00D92463">
          <w:rPr>
            <w:webHidden/>
          </w:rPr>
          <w:instrText xml:space="preserve"> PAGEREF _Toc476658085 \h </w:instrText>
        </w:r>
        <w:r w:rsidR="00D92463">
          <w:rPr>
            <w:webHidden/>
          </w:rPr>
        </w:r>
        <w:r w:rsidR="00D92463">
          <w:rPr>
            <w:webHidden/>
          </w:rPr>
          <w:fldChar w:fldCharType="separate"/>
        </w:r>
        <w:r w:rsidR="002536F9">
          <w:rPr>
            <w:webHidden/>
          </w:rPr>
          <w:t>19</w:t>
        </w:r>
        <w:r w:rsidR="00D92463">
          <w:rPr>
            <w:webHidden/>
          </w:rPr>
          <w:fldChar w:fldCharType="end"/>
        </w:r>
      </w:hyperlink>
    </w:p>
    <w:p w14:paraId="0F142ABA" w14:textId="77777777" w:rsidR="00D92463" w:rsidRDefault="000A3679">
      <w:pPr>
        <w:pStyle w:val="TOC6"/>
        <w:tabs>
          <w:tab w:val="left" w:pos="1800"/>
        </w:tabs>
        <w:rPr>
          <w:spacing w:val="0"/>
          <w:sz w:val="22"/>
          <w:szCs w:val="22"/>
          <w:lang w:eastAsia="en-AU"/>
        </w:rPr>
      </w:pPr>
      <w:hyperlink w:anchor="_Toc476658086" w:history="1">
        <w:r w:rsidR="00D92463" w:rsidRPr="006072D5">
          <w:rPr>
            <w:rStyle w:val="Hyperlink"/>
          </w:rPr>
          <w:t>1.1.1</w:t>
        </w:r>
        <w:r w:rsidR="00D92463">
          <w:rPr>
            <w:spacing w:val="0"/>
            <w:sz w:val="22"/>
            <w:szCs w:val="22"/>
            <w:lang w:eastAsia="en-AU"/>
          </w:rPr>
          <w:tab/>
        </w:r>
        <w:r w:rsidR="00D92463" w:rsidRPr="006072D5">
          <w:rPr>
            <w:rStyle w:val="Hyperlink"/>
          </w:rPr>
          <w:t>Commonwealth grants provided for specific purposes</w:t>
        </w:r>
        <w:r w:rsidR="00D92463">
          <w:rPr>
            <w:webHidden/>
          </w:rPr>
          <w:tab/>
        </w:r>
        <w:r w:rsidR="00D92463">
          <w:rPr>
            <w:webHidden/>
          </w:rPr>
          <w:fldChar w:fldCharType="begin"/>
        </w:r>
        <w:r w:rsidR="00D92463">
          <w:rPr>
            <w:webHidden/>
          </w:rPr>
          <w:instrText xml:space="preserve"> PAGEREF _Toc476658086 \h </w:instrText>
        </w:r>
        <w:r w:rsidR="00D92463">
          <w:rPr>
            <w:webHidden/>
          </w:rPr>
        </w:r>
        <w:r w:rsidR="00D92463">
          <w:rPr>
            <w:webHidden/>
          </w:rPr>
          <w:fldChar w:fldCharType="separate"/>
        </w:r>
        <w:r w:rsidR="002536F9">
          <w:rPr>
            <w:webHidden/>
          </w:rPr>
          <w:t>19</w:t>
        </w:r>
        <w:r w:rsidR="00D92463">
          <w:rPr>
            <w:webHidden/>
          </w:rPr>
          <w:fldChar w:fldCharType="end"/>
        </w:r>
      </w:hyperlink>
    </w:p>
    <w:p w14:paraId="13B7D0EE" w14:textId="77777777" w:rsidR="00D92463" w:rsidRDefault="000A3679">
      <w:pPr>
        <w:pStyle w:val="TOC6"/>
        <w:tabs>
          <w:tab w:val="left" w:pos="1800"/>
        </w:tabs>
        <w:rPr>
          <w:spacing w:val="0"/>
          <w:sz w:val="22"/>
          <w:szCs w:val="22"/>
          <w:lang w:eastAsia="en-AU"/>
        </w:rPr>
      </w:pPr>
      <w:hyperlink w:anchor="_Toc476658087" w:history="1">
        <w:r w:rsidR="00D92463" w:rsidRPr="006072D5">
          <w:rPr>
            <w:rStyle w:val="Hyperlink"/>
          </w:rPr>
          <w:t>1.1.2</w:t>
        </w:r>
        <w:r w:rsidR="00D92463">
          <w:rPr>
            <w:spacing w:val="0"/>
            <w:sz w:val="22"/>
            <w:szCs w:val="22"/>
            <w:lang w:eastAsia="en-AU"/>
          </w:rPr>
          <w:tab/>
        </w:r>
        <w:r w:rsidR="00D92463" w:rsidRPr="006072D5">
          <w:rPr>
            <w:rStyle w:val="Hyperlink"/>
          </w:rPr>
          <w:t>User charges</w:t>
        </w:r>
        <w:r w:rsidR="00D92463">
          <w:rPr>
            <w:webHidden/>
          </w:rPr>
          <w:tab/>
        </w:r>
        <w:r w:rsidR="00D92463">
          <w:rPr>
            <w:webHidden/>
          </w:rPr>
          <w:fldChar w:fldCharType="begin"/>
        </w:r>
        <w:r w:rsidR="00D92463">
          <w:rPr>
            <w:webHidden/>
          </w:rPr>
          <w:instrText xml:space="preserve"> PAGEREF _Toc476658087 \h </w:instrText>
        </w:r>
        <w:r w:rsidR="00D92463">
          <w:rPr>
            <w:webHidden/>
          </w:rPr>
        </w:r>
        <w:r w:rsidR="00D92463">
          <w:rPr>
            <w:webHidden/>
          </w:rPr>
          <w:fldChar w:fldCharType="separate"/>
        </w:r>
        <w:r w:rsidR="002536F9">
          <w:rPr>
            <w:webHidden/>
          </w:rPr>
          <w:t>19</w:t>
        </w:r>
        <w:r w:rsidR="00D92463">
          <w:rPr>
            <w:webHidden/>
          </w:rPr>
          <w:fldChar w:fldCharType="end"/>
        </w:r>
      </w:hyperlink>
    </w:p>
    <w:p w14:paraId="0DD6E626" w14:textId="77777777" w:rsidR="00D92463" w:rsidRDefault="000A3679">
      <w:pPr>
        <w:pStyle w:val="TOC6"/>
        <w:tabs>
          <w:tab w:val="left" w:pos="1800"/>
        </w:tabs>
        <w:rPr>
          <w:spacing w:val="0"/>
          <w:sz w:val="22"/>
          <w:szCs w:val="22"/>
          <w:lang w:eastAsia="en-AU"/>
        </w:rPr>
      </w:pPr>
      <w:hyperlink w:anchor="_Toc476658088" w:history="1">
        <w:r w:rsidR="00D92463" w:rsidRPr="006072D5">
          <w:rPr>
            <w:rStyle w:val="Hyperlink"/>
          </w:rPr>
          <w:t>1.1.3</w:t>
        </w:r>
        <w:r w:rsidR="00D92463">
          <w:rPr>
            <w:spacing w:val="0"/>
            <w:sz w:val="22"/>
            <w:szCs w:val="22"/>
            <w:lang w:eastAsia="en-AU"/>
          </w:rPr>
          <w:tab/>
        </w:r>
        <w:r w:rsidR="00D92463" w:rsidRPr="006072D5">
          <w:rPr>
            <w:rStyle w:val="Hyperlink"/>
          </w:rPr>
          <w:t>Asset sales</w:t>
        </w:r>
        <w:r w:rsidR="00D92463">
          <w:rPr>
            <w:webHidden/>
          </w:rPr>
          <w:tab/>
        </w:r>
        <w:r w:rsidR="00D92463">
          <w:rPr>
            <w:webHidden/>
          </w:rPr>
          <w:fldChar w:fldCharType="begin"/>
        </w:r>
        <w:r w:rsidR="00D92463">
          <w:rPr>
            <w:webHidden/>
          </w:rPr>
          <w:instrText xml:space="preserve"> PAGEREF _Toc476658088 \h </w:instrText>
        </w:r>
        <w:r w:rsidR="00D92463">
          <w:rPr>
            <w:webHidden/>
          </w:rPr>
        </w:r>
        <w:r w:rsidR="00D92463">
          <w:rPr>
            <w:webHidden/>
          </w:rPr>
          <w:fldChar w:fldCharType="separate"/>
        </w:r>
        <w:r w:rsidR="002536F9">
          <w:rPr>
            <w:webHidden/>
          </w:rPr>
          <w:t>20</w:t>
        </w:r>
        <w:r w:rsidR="00D92463">
          <w:rPr>
            <w:webHidden/>
          </w:rPr>
          <w:fldChar w:fldCharType="end"/>
        </w:r>
      </w:hyperlink>
    </w:p>
    <w:p w14:paraId="0847EF50" w14:textId="77777777" w:rsidR="00D92463" w:rsidRDefault="000A3679">
      <w:pPr>
        <w:pStyle w:val="TOC5"/>
        <w:tabs>
          <w:tab w:val="left" w:pos="1080"/>
        </w:tabs>
        <w:rPr>
          <w:spacing w:val="0"/>
          <w:sz w:val="22"/>
          <w:szCs w:val="22"/>
          <w:lang w:eastAsia="en-AU"/>
        </w:rPr>
      </w:pPr>
      <w:hyperlink w:anchor="_Toc476658089" w:history="1">
        <w:r w:rsidR="00D92463" w:rsidRPr="006072D5">
          <w:rPr>
            <w:rStyle w:val="Hyperlink"/>
          </w:rPr>
          <w:t>1.2</w:t>
        </w:r>
        <w:r w:rsidR="00D92463">
          <w:rPr>
            <w:spacing w:val="0"/>
            <w:sz w:val="22"/>
            <w:szCs w:val="22"/>
            <w:lang w:eastAsia="en-AU"/>
          </w:rPr>
          <w:tab/>
        </w:r>
        <w:r w:rsidR="00D92463" w:rsidRPr="006072D5">
          <w:rPr>
            <w:rStyle w:val="Hyperlink"/>
          </w:rPr>
          <w:t>The Trust Fund and trust accounts</w:t>
        </w:r>
        <w:r w:rsidR="00D92463">
          <w:rPr>
            <w:webHidden/>
          </w:rPr>
          <w:tab/>
        </w:r>
        <w:r w:rsidR="00D92463">
          <w:rPr>
            <w:webHidden/>
          </w:rPr>
          <w:fldChar w:fldCharType="begin"/>
        </w:r>
        <w:r w:rsidR="00D92463">
          <w:rPr>
            <w:webHidden/>
          </w:rPr>
          <w:instrText xml:space="preserve"> PAGEREF _Toc476658089 \h </w:instrText>
        </w:r>
        <w:r w:rsidR="00D92463">
          <w:rPr>
            <w:webHidden/>
          </w:rPr>
        </w:r>
        <w:r w:rsidR="00D92463">
          <w:rPr>
            <w:webHidden/>
          </w:rPr>
          <w:fldChar w:fldCharType="separate"/>
        </w:r>
        <w:r w:rsidR="002536F9">
          <w:rPr>
            <w:webHidden/>
          </w:rPr>
          <w:t>26</w:t>
        </w:r>
        <w:r w:rsidR="00D92463">
          <w:rPr>
            <w:webHidden/>
          </w:rPr>
          <w:fldChar w:fldCharType="end"/>
        </w:r>
      </w:hyperlink>
    </w:p>
    <w:p w14:paraId="4AB489AF" w14:textId="77777777" w:rsidR="00D92463" w:rsidRDefault="000A3679">
      <w:pPr>
        <w:pStyle w:val="TOC6"/>
        <w:tabs>
          <w:tab w:val="left" w:pos="1800"/>
        </w:tabs>
        <w:rPr>
          <w:spacing w:val="0"/>
          <w:sz w:val="22"/>
          <w:szCs w:val="22"/>
          <w:lang w:eastAsia="en-AU"/>
        </w:rPr>
      </w:pPr>
      <w:hyperlink w:anchor="_Toc476658090" w:history="1">
        <w:r w:rsidR="00D92463" w:rsidRPr="006072D5">
          <w:rPr>
            <w:rStyle w:val="Hyperlink"/>
          </w:rPr>
          <w:t>1.2.1</w:t>
        </w:r>
        <w:r w:rsidR="00D92463">
          <w:rPr>
            <w:spacing w:val="0"/>
            <w:sz w:val="22"/>
            <w:szCs w:val="22"/>
            <w:lang w:eastAsia="en-AU"/>
          </w:rPr>
          <w:tab/>
        </w:r>
        <w:r w:rsidR="00D92463" w:rsidRPr="006072D5">
          <w:rPr>
            <w:rStyle w:val="Hyperlink"/>
          </w:rPr>
          <w:t>Creation of a trust account</w:t>
        </w:r>
        <w:r w:rsidR="00D92463">
          <w:rPr>
            <w:webHidden/>
          </w:rPr>
          <w:tab/>
        </w:r>
        <w:r w:rsidR="00D92463">
          <w:rPr>
            <w:webHidden/>
          </w:rPr>
          <w:fldChar w:fldCharType="begin"/>
        </w:r>
        <w:r w:rsidR="00D92463">
          <w:rPr>
            <w:webHidden/>
          </w:rPr>
          <w:instrText xml:space="preserve"> PAGEREF _Toc476658090 \h </w:instrText>
        </w:r>
        <w:r w:rsidR="00D92463">
          <w:rPr>
            <w:webHidden/>
          </w:rPr>
        </w:r>
        <w:r w:rsidR="00D92463">
          <w:rPr>
            <w:webHidden/>
          </w:rPr>
          <w:fldChar w:fldCharType="separate"/>
        </w:r>
        <w:r w:rsidR="002536F9">
          <w:rPr>
            <w:webHidden/>
          </w:rPr>
          <w:t>26</w:t>
        </w:r>
        <w:r w:rsidR="00D92463">
          <w:rPr>
            <w:webHidden/>
          </w:rPr>
          <w:fldChar w:fldCharType="end"/>
        </w:r>
      </w:hyperlink>
    </w:p>
    <w:p w14:paraId="0B12CC34" w14:textId="77777777" w:rsidR="00D92463" w:rsidRDefault="000A3679">
      <w:pPr>
        <w:pStyle w:val="TOC6"/>
        <w:tabs>
          <w:tab w:val="left" w:pos="1800"/>
        </w:tabs>
        <w:rPr>
          <w:spacing w:val="0"/>
          <w:sz w:val="22"/>
          <w:szCs w:val="22"/>
          <w:lang w:eastAsia="en-AU"/>
        </w:rPr>
      </w:pPr>
      <w:hyperlink w:anchor="_Toc476658091" w:history="1">
        <w:r w:rsidR="00D92463" w:rsidRPr="006072D5">
          <w:rPr>
            <w:rStyle w:val="Hyperlink"/>
          </w:rPr>
          <w:t>1.2.2</w:t>
        </w:r>
        <w:r w:rsidR="00D92463">
          <w:rPr>
            <w:spacing w:val="0"/>
            <w:sz w:val="22"/>
            <w:szCs w:val="22"/>
            <w:lang w:eastAsia="en-AU"/>
          </w:rPr>
          <w:tab/>
        </w:r>
        <w:r w:rsidR="00D92463" w:rsidRPr="006072D5">
          <w:rPr>
            <w:rStyle w:val="Hyperlink"/>
          </w:rPr>
          <w:t>Review of trust accounts</w:t>
        </w:r>
        <w:r w:rsidR="00D92463">
          <w:rPr>
            <w:webHidden/>
          </w:rPr>
          <w:tab/>
        </w:r>
        <w:r w:rsidR="00D92463">
          <w:rPr>
            <w:webHidden/>
          </w:rPr>
          <w:fldChar w:fldCharType="begin"/>
        </w:r>
        <w:r w:rsidR="00D92463">
          <w:rPr>
            <w:webHidden/>
          </w:rPr>
          <w:instrText xml:space="preserve"> PAGEREF _Toc476658091 \h </w:instrText>
        </w:r>
        <w:r w:rsidR="00D92463">
          <w:rPr>
            <w:webHidden/>
          </w:rPr>
        </w:r>
        <w:r w:rsidR="00D92463">
          <w:rPr>
            <w:webHidden/>
          </w:rPr>
          <w:fldChar w:fldCharType="separate"/>
        </w:r>
        <w:r w:rsidR="002536F9">
          <w:rPr>
            <w:webHidden/>
          </w:rPr>
          <w:t>26</w:t>
        </w:r>
        <w:r w:rsidR="00D92463">
          <w:rPr>
            <w:webHidden/>
          </w:rPr>
          <w:fldChar w:fldCharType="end"/>
        </w:r>
      </w:hyperlink>
    </w:p>
    <w:p w14:paraId="6B30A142" w14:textId="77777777" w:rsidR="00D92463" w:rsidRDefault="000A3679">
      <w:pPr>
        <w:pStyle w:val="TOC6"/>
        <w:tabs>
          <w:tab w:val="left" w:pos="1800"/>
        </w:tabs>
        <w:rPr>
          <w:spacing w:val="0"/>
          <w:sz w:val="22"/>
          <w:szCs w:val="22"/>
          <w:lang w:eastAsia="en-AU"/>
        </w:rPr>
      </w:pPr>
      <w:hyperlink w:anchor="_Toc476658092" w:history="1">
        <w:r w:rsidR="00D92463" w:rsidRPr="006072D5">
          <w:rPr>
            <w:rStyle w:val="Hyperlink"/>
          </w:rPr>
          <w:t>1.2.3</w:t>
        </w:r>
        <w:r w:rsidR="00D92463">
          <w:rPr>
            <w:spacing w:val="0"/>
            <w:sz w:val="22"/>
            <w:szCs w:val="22"/>
            <w:lang w:eastAsia="en-AU"/>
          </w:rPr>
          <w:tab/>
        </w:r>
        <w:r w:rsidR="00D92463" w:rsidRPr="006072D5">
          <w:rPr>
            <w:rStyle w:val="Hyperlink"/>
          </w:rPr>
          <w:t>Specific requirements relating to the Treasury Trust Fund</w:t>
        </w:r>
        <w:r w:rsidR="00D92463">
          <w:rPr>
            <w:webHidden/>
          </w:rPr>
          <w:tab/>
        </w:r>
        <w:r w:rsidR="00D92463">
          <w:rPr>
            <w:webHidden/>
          </w:rPr>
          <w:fldChar w:fldCharType="begin"/>
        </w:r>
        <w:r w:rsidR="00D92463">
          <w:rPr>
            <w:webHidden/>
          </w:rPr>
          <w:instrText xml:space="preserve"> PAGEREF _Toc476658092 \h </w:instrText>
        </w:r>
        <w:r w:rsidR="00D92463">
          <w:rPr>
            <w:webHidden/>
          </w:rPr>
        </w:r>
        <w:r w:rsidR="00D92463">
          <w:rPr>
            <w:webHidden/>
          </w:rPr>
          <w:fldChar w:fldCharType="separate"/>
        </w:r>
        <w:r w:rsidR="002536F9">
          <w:rPr>
            <w:webHidden/>
          </w:rPr>
          <w:t>26</w:t>
        </w:r>
        <w:r w:rsidR="00D92463">
          <w:rPr>
            <w:webHidden/>
          </w:rPr>
          <w:fldChar w:fldCharType="end"/>
        </w:r>
      </w:hyperlink>
    </w:p>
    <w:p w14:paraId="43A74DEC" w14:textId="77777777" w:rsidR="00D92463" w:rsidRDefault="000A3679">
      <w:pPr>
        <w:pStyle w:val="TOC6"/>
        <w:tabs>
          <w:tab w:val="left" w:pos="1800"/>
        </w:tabs>
        <w:rPr>
          <w:spacing w:val="0"/>
          <w:sz w:val="22"/>
          <w:szCs w:val="22"/>
          <w:lang w:eastAsia="en-AU"/>
        </w:rPr>
      </w:pPr>
      <w:hyperlink w:anchor="_Toc476658093" w:history="1">
        <w:r w:rsidR="00D92463" w:rsidRPr="006072D5">
          <w:rPr>
            <w:rStyle w:val="Hyperlink"/>
          </w:rPr>
          <w:t>1.2.4</w:t>
        </w:r>
        <w:r w:rsidR="00D92463">
          <w:rPr>
            <w:spacing w:val="0"/>
            <w:sz w:val="22"/>
            <w:szCs w:val="22"/>
            <w:lang w:eastAsia="en-AU"/>
          </w:rPr>
          <w:tab/>
        </w:r>
        <w:r w:rsidR="00D92463" w:rsidRPr="006072D5">
          <w:rPr>
            <w:rStyle w:val="Hyperlink"/>
          </w:rPr>
          <w:t>Closure of trust accounts</w:t>
        </w:r>
        <w:r w:rsidR="00D92463">
          <w:rPr>
            <w:webHidden/>
          </w:rPr>
          <w:tab/>
        </w:r>
        <w:r w:rsidR="00D92463">
          <w:rPr>
            <w:webHidden/>
          </w:rPr>
          <w:fldChar w:fldCharType="begin"/>
        </w:r>
        <w:r w:rsidR="00D92463">
          <w:rPr>
            <w:webHidden/>
          </w:rPr>
          <w:instrText xml:space="preserve"> PAGEREF _Toc476658093 \h </w:instrText>
        </w:r>
        <w:r w:rsidR="00D92463">
          <w:rPr>
            <w:webHidden/>
          </w:rPr>
        </w:r>
        <w:r w:rsidR="00D92463">
          <w:rPr>
            <w:webHidden/>
          </w:rPr>
          <w:fldChar w:fldCharType="separate"/>
        </w:r>
        <w:r w:rsidR="002536F9">
          <w:rPr>
            <w:webHidden/>
          </w:rPr>
          <w:t>26</w:t>
        </w:r>
        <w:r w:rsidR="00D92463">
          <w:rPr>
            <w:webHidden/>
          </w:rPr>
          <w:fldChar w:fldCharType="end"/>
        </w:r>
      </w:hyperlink>
    </w:p>
    <w:p w14:paraId="046534A0" w14:textId="77777777" w:rsidR="00D92463" w:rsidRDefault="000A3679">
      <w:pPr>
        <w:pStyle w:val="TOC5"/>
        <w:tabs>
          <w:tab w:val="left" w:pos="1080"/>
        </w:tabs>
        <w:rPr>
          <w:spacing w:val="0"/>
          <w:sz w:val="22"/>
          <w:szCs w:val="22"/>
          <w:lang w:eastAsia="en-AU"/>
        </w:rPr>
      </w:pPr>
      <w:hyperlink w:anchor="_Toc476658094" w:history="1">
        <w:r w:rsidR="00D92463" w:rsidRPr="006072D5">
          <w:rPr>
            <w:rStyle w:val="Hyperlink"/>
          </w:rPr>
          <w:t>1.3</w:t>
        </w:r>
        <w:r w:rsidR="00D92463">
          <w:rPr>
            <w:spacing w:val="0"/>
            <w:sz w:val="22"/>
            <w:szCs w:val="22"/>
            <w:lang w:eastAsia="en-AU"/>
          </w:rPr>
          <w:tab/>
        </w:r>
        <w:r w:rsidR="00D92463" w:rsidRPr="006072D5">
          <w:rPr>
            <w:rStyle w:val="Hyperlink"/>
          </w:rPr>
          <w:t>Treasurer’s Advance for urgent and unforeseen claims</w:t>
        </w:r>
        <w:r w:rsidR="00D92463">
          <w:rPr>
            <w:webHidden/>
          </w:rPr>
          <w:tab/>
        </w:r>
        <w:r w:rsidR="00D92463">
          <w:rPr>
            <w:webHidden/>
          </w:rPr>
          <w:fldChar w:fldCharType="begin"/>
        </w:r>
        <w:r w:rsidR="00D92463">
          <w:rPr>
            <w:webHidden/>
          </w:rPr>
          <w:instrText xml:space="preserve"> PAGEREF _Toc476658094 \h </w:instrText>
        </w:r>
        <w:r w:rsidR="00D92463">
          <w:rPr>
            <w:webHidden/>
          </w:rPr>
        </w:r>
        <w:r w:rsidR="00D92463">
          <w:rPr>
            <w:webHidden/>
          </w:rPr>
          <w:fldChar w:fldCharType="separate"/>
        </w:r>
        <w:r w:rsidR="002536F9">
          <w:rPr>
            <w:webHidden/>
          </w:rPr>
          <w:t>31</w:t>
        </w:r>
        <w:r w:rsidR="00D92463">
          <w:rPr>
            <w:webHidden/>
          </w:rPr>
          <w:fldChar w:fldCharType="end"/>
        </w:r>
      </w:hyperlink>
    </w:p>
    <w:p w14:paraId="39A08217" w14:textId="77777777" w:rsidR="00D92463" w:rsidRDefault="000A3679">
      <w:pPr>
        <w:pStyle w:val="TOC6"/>
        <w:tabs>
          <w:tab w:val="left" w:pos="1800"/>
        </w:tabs>
        <w:rPr>
          <w:spacing w:val="0"/>
          <w:sz w:val="22"/>
          <w:szCs w:val="22"/>
          <w:lang w:eastAsia="en-AU"/>
        </w:rPr>
      </w:pPr>
      <w:hyperlink w:anchor="_Toc476658095" w:history="1">
        <w:r w:rsidR="00D92463" w:rsidRPr="006072D5">
          <w:rPr>
            <w:rStyle w:val="Hyperlink"/>
          </w:rPr>
          <w:t>1.3.1</w:t>
        </w:r>
        <w:r w:rsidR="00D92463">
          <w:rPr>
            <w:spacing w:val="0"/>
            <w:sz w:val="22"/>
            <w:szCs w:val="22"/>
            <w:lang w:eastAsia="en-AU"/>
          </w:rPr>
          <w:tab/>
        </w:r>
        <w:r w:rsidR="00D92463" w:rsidRPr="006072D5">
          <w:rPr>
            <w:rStyle w:val="Hyperlink"/>
          </w:rPr>
          <w:t>Process and requirements for Treasurer’s Advance requests</w:t>
        </w:r>
        <w:r w:rsidR="00D92463">
          <w:rPr>
            <w:webHidden/>
          </w:rPr>
          <w:tab/>
        </w:r>
        <w:r w:rsidR="00D92463">
          <w:rPr>
            <w:webHidden/>
          </w:rPr>
          <w:fldChar w:fldCharType="begin"/>
        </w:r>
        <w:r w:rsidR="00D92463">
          <w:rPr>
            <w:webHidden/>
          </w:rPr>
          <w:instrText xml:space="preserve"> PAGEREF _Toc476658095 \h </w:instrText>
        </w:r>
        <w:r w:rsidR="00D92463">
          <w:rPr>
            <w:webHidden/>
          </w:rPr>
        </w:r>
        <w:r w:rsidR="00D92463">
          <w:rPr>
            <w:webHidden/>
          </w:rPr>
          <w:fldChar w:fldCharType="separate"/>
        </w:r>
        <w:r w:rsidR="002536F9">
          <w:rPr>
            <w:webHidden/>
          </w:rPr>
          <w:t>31</w:t>
        </w:r>
        <w:r w:rsidR="00D92463">
          <w:rPr>
            <w:webHidden/>
          </w:rPr>
          <w:fldChar w:fldCharType="end"/>
        </w:r>
      </w:hyperlink>
    </w:p>
    <w:p w14:paraId="5DAB8D63" w14:textId="77777777" w:rsidR="00D92463" w:rsidRDefault="000A3679">
      <w:pPr>
        <w:pStyle w:val="TOC6"/>
        <w:tabs>
          <w:tab w:val="left" w:pos="1800"/>
        </w:tabs>
        <w:rPr>
          <w:spacing w:val="0"/>
          <w:sz w:val="22"/>
          <w:szCs w:val="22"/>
          <w:lang w:eastAsia="en-AU"/>
        </w:rPr>
      </w:pPr>
      <w:hyperlink w:anchor="_Toc476658096" w:history="1">
        <w:r w:rsidR="00D92463" w:rsidRPr="006072D5">
          <w:rPr>
            <w:rStyle w:val="Hyperlink"/>
          </w:rPr>
          <w:t>1.3.2</w:t>
        </w:r>
        <w:r w:rsidR="00D92463">
          <w:rPr>
            <w:spacing w:val="0"/>
            <w:sz w:val="22"/>
            <w:szCs w:val="22"/>
            <w:lang w:eastAsia="en-AU"/>
          </w:rPr>
          <w:tab/>
        </w:r>
        <w:r w:rsidR="00D92463" w:rsidRPr="006072D5">
          <w:rPr>
            <w:rStyle w:val="Hyperlink"/>
          </w:rPr>
          <w:t>Reporting on Treasurer’s Advance expenditure</w:t>
        </w:r>
        <w:r w:rsidR="00D92463">
          <w:rPr>
            <w:webHidden/>
          </w:rPr>
          <w:tab/>
        </w:r>
        <w:r w:rsidR="00D92463">
          <w:rPr>
            <w:webHidden/>
          </w:rPr>
          <w:fldChar w:fldCharType="begin"/>
        </w:r>
        <w:r w:rsidR="00D92463">
          <w:rPr>
            <w:webHidden/>
          </w:rPr>
          <w:instrText xml:space="preserve"> PAGEREF _Toc476658096 \h </w:instrText>
        </w:r>
        <w:r w:rsidR="00D92463">
          <w:rPr>
            <w:webHidden/>
          </w:rPr>
        </w:r>
        <w:r w:rsidR="00D92463">
          <w:rPr>
            <w:webHidden/>
          </w:rPr>
          <w:fldChar w:fldCharType="separate"/>
        </w:r>
        <w:r w:rsidR="002536F9">
          <w:rPr>
            <w:webHidden/>
          </w:rPr>
          <w:t>31</w:t>
        </w:r>
        <w:r w:rsidR="00D92463">
          <w:rPr>
            <w:webHidden/>
          </w:rPr>
          <w:fldChar w:fldCharType="end"/>
        </w:r>
      </w:hyperlink>
    </w:p>
    <w:p w14:paraId="195BF16C" w14:textId="77777777" w:rsidR="00D92463" w:rsidRDefault="000A3679">
      <w:pPr>
        <w:pStyle w:val="TOC6"/>
        <w:tabs>
          <w:tab w:val="left" w:pos="1800"/>
        </w:tabs>
        <w:rPr>
          <w:spacing w:val="0"/>
          <w:sz w:val="22"/>
          <w:szCs w:val="22"/>
          <w:lang w:eastAsia="en-AU"/>
        </w:rPr>
      </w:pPr>
      <w:hyperlink w:anchor="_Toc476658097" w:history="1">
        <w:r w:rsidR="00D92463" w:rsidRPr="006072D5">
          <w:rPr>
            <w:rStyle w:val="Hyperlink"/>
          </w:rPr>
          <w:t>1.3.3</w:t>
        </w:r>
        <w:r w:rsidR="00D92463">
          <w:rPr>
            <w:spacing w:val="0"/>
            <w:sz w:val="22"/>
            <w:szCs w:val="22"/>
            <w:lang w:eastAsia="en-AU"/>
          </w:rPr>
          <w:tab/>
        </w:r>
        <w:r w:rsidR="00D92463" w:rsidRPr="006072D5">
          <w:rPr>
            <w:rStyle w:val="Hyperlink"/>
          </w:rPr>
          <w:t>Restrictions on Treasurer’s Advance</w:t>
        </w:r>
        <w:r w:rsidR="00D92463">
          <w:rPr>
            <w:webHidden/>
          </w:rPr>
          <w:tab/>
        </w:r>
        <w:r w:rsidR="00D92463">
          <w:rPr>
            <w:webHidden/>
          </w:rPr>
          <w:fldChar w:fldCharType="begin"/>
        </w:r>
        <w:r w:rsidR="00D92463">
          <w:rPr>
            <w:webHidden/>
          </w:rPr>
          <w:instrText xml:space="preserve"> PAGEREF _Toc476658097 \h </w:instrText>
        </w:r>
        <w:r w:rsidR="00D92463">
          <w:rPr>
            <w:webHidden/>
          </w:rPr>
        </w:r>
        <w:r w:rsidR="00D92463">
          <w:rPr>
            <w:webHidden/>
          </w:rPr>
          <w:fldChar w:fldCharType="separate"/>
        </w:r>
        <w:r w:rsidR="002536F9">
          <w:rPr>
            <w:webHidden/>
          </w:rPr>
          <w:t>31</w:t>
        </w:r>
        <w:r w:rsidR="00D92463">
          <w:rPr>
            <w:webHidden/>
          </w:rPr>
          <w:fldChar w:fldCharType="end"/>
        </w:r>
      </w:hyperlink>
    </w:p>
    <w:p w14:paraId="774989A2" w14:textId="77777777" w:rsidR="00D92463" w:rsidRDefault="000A3679">
      <w:pPr>
        <w:pStyle w:val="TOC5"/>
        <w:tabs>
          <w:tab w:val="left" w:pos="1080"/>
        </w:tabs>
        <w:rPr>
          <w:spacing w:val="0"/>
          <w:sz w:val="22"/>
          <w:szCs w:val="22"/>
          <w:lang w:eastAsia="en-AU"/>
        </w:rPr>
      </w:pPr>
      <w:hyperlink w:anchor="_Toc476658098" w:history="1">
        <w:r w:rsidR="00D92463" w:rsidRPr="006072D5">
          <w:rPr>
            <w:rStyle w:val="Hyperlink"/>
          </w:rPr>
          <w:t>1.4</w:t>
        </w:r>
        <w:r w:rsidR="00D92463">
          <w:rPr>
            <w:spacing w:val="0"/>
            <w:sz w:val="22"/>
            <w:szCs w:val="22"/>
            <w:lang w:eastAsia="en-AU"/>
          </w:rPr>
          <w:tab/>
        </w:r>
        <w:r w:rsidR="00D92463" w:rsidRPr="006072D5">
          <w:rPr>
            <w:rStyle w:val="Hyperlink"/>
          </w:rPr>
          <w:t>Supplementation under section 35 of the FMA</w:t>
        </w:r>
        <w:r w:rsidR="00D92463">
          <w:rPr>
            <w:webHidden/>
          </w:rPr>
          <w:tab/>
        </w:r>
        <w:r w:rsidR="00D92463">
          <w:rPr>
            <w:webHidden/>
          </w:rPr>
          <w:fldChar w:fldCharType="begin"/>
        </w:r>
        <w:r w:rsidR="00D92463">
          <w:rPr>
            <w:webHidden/>
          </w:rPr>
          <w:instrText xml:space="preserve"> PAGEREF _Toc476658098 \h </w:instrText>
        </w:r>
        <w:r w:rsidR="00D92463">
          <w:rPr>
            <w:webHidden/>
          </w:rPr>
        </w:r>
        <w:r w:rsidR="00D92463">
          <w:rPr>
            <w:webHidden/>
          </w:rPr>
          <w:fldChar w:fldCharType="separate"/>
        </w:r>
        <w:r w:rsidR="002536F9">
          <w:rPr>
            <w:webHidden/>
          </w:rPr>
          <w:t>33</w:t>
        </w:r>
        <w:r w:rsidR="00D92463">
          <w:rPr>
            <w:webHidden/>
          </w:rPr>
          <w:fldChar w:fldCharType="end"/>
        </w:r>
      </w:hyperlink>
    </w:p>
    <w:p w14:paraId="5B31FE0A" w14:textId="77777777" w:rsidR="00D92463" w:rsidRDefault="000A3679">
      <w:pPr>
        <w:pStyle w:val="TOC6"/>
        <w:tabs>
          <w:tab w:val="left" w:pos="1800"/>
        </w:tabs>
        <w:rPr>
          <w:spacing w:val="0"/>
          <w:sz w:val="22"/>
          <w:szCs w:val="22"/>
          <w:lang w:eastAsia="en-AU"/>
        </w:rPr>
      </w:pPr>
      <w:hyperlink w:anchor="_Toc476658099" w:history="1">
        <w:r w:rsidR="00D92463" w:rsidRPr="006072D5">
          <w:rPr>
            <w:rStyle w:val="Hyperlink"/>
          </w:rPr>
          <w:t>1.4.1</w:t>
        </w:r>
        <w:r w:rsidR="00D92463">
          <w:rPr>
            <w:spacing w:val="0"/>
            <w:sz w:val="22"/>
            <w:szCs w:val="22"/>
            <w:lang w:eastAsia="en-AU"/>
          </w:rPr>
          <w:tab/>
        </w:r>
        <w:r w:rsidR="00D92463" w:rsidRPr="006072D5">
          <w:rPr>
            <w:rStyle w:val="Hyperlink"/>
          </w:rPr>
          <w:t>Process and requirements for requests for supplementation under section 35 of the FMA</w:t>
        </w:r>
        <w:r w:rsidR="00D92463">
          <w:rPr>
            <w:webHidden/>
          </w:rPr>
          <w:tab/>
        </w:r>
        <w:r w:rsidR="00D92463">
          <w:rPr>
            <w:webHidden/>
          </w:rPr>
          <w:fldChar w:fldCharType="begin"/>
        </w:r>
        <w:r w:rsidR="00D92463">
          <w:rPr>
            <w:webHidden/>
          </w:rPr>
          <w:instrText xml:space="preserve"> PAGEREF _Toc476658099 \h </w:instrText>
        </w:r>
        <w:r w:rsidR="00D92463">
          <w:rPr>
            <w:webHidden/>
          </w:rPr>
        </w:r>
        <w:r w:rsidR="00D92463">
          <w:rPr>
            <w:webHidden/>
          </w:rPr>
          <w:fldChar w:fldCharType="separate"/>
        </w:r>
        <w:r w:rsidR="002536F9">
          <w:rPr>
            <w:webHidden/>
          </w:rPr>
          <w:t>33</w:t>
        </w:r>
        <w:r w:rsidR="00D92463">
          <w:rPr>
            <w:webHidden/>
          </w:rPr>
          <w:fldChar w:fldCharType="end"/>
        </w:r>
      </w:hyperlink>
    </w:p>
    <w:p w14:paraId="27EBBEF2" w14:textId="77777777" w:rsidR="00D92463" w:rsidRDefault="000A3679">
      <w:pPr>
        <w:pStyle w:val="TOC6"/>
        <w:tabs>
          <w:tab w:val="left" w:pos="1800"/>
        </w:tabs>
        <w:rPr>
          <w:spacing w:val="0"/>
          <w:sz w:val="22"/>
          <w:szCs w:val="22"/>
          <w:lang w:eastAsia="en-AU"/>
        </w:rPr>
      </w:pPr>
      <w:hyperlink w:anchor="_Toc476658100" w:history="1">
        <w:r w:rsidR="00D92463" w:rsidRPr="006072D5">
          <w:rPr>
            <w:rStyle w:val="Hyperlink"/>
          </w:rPr>
          <w:t>1.4.2</w:t>
        </w:r>
        <w:r w:rsidR="00D92463">
          <w:rPr>
            <w:spacing w:val="0"/>
            <w:sz w:val="22"/>
            <w:szCs w:val="22"/>
            <w:lang w:eastAsia="en-AU"/>
          </w:rPr>
          <w:tab/>
        </w:r>
        <w:r w:rsidR="00D92463" w:rsidRPr="006072D5">
          <w:rPr>
            <w:rStyle w:val="Hyperlink"/>
          </w:rPr>
          <w:t>Reporting on supplementation under section 35 of the FMA</w:t>
        </w:r>
        <w:r w:rsidR="00D92463">
          <w:rPr>
            <w:webHidden/>
          </w:rPr>
          <w:tab/>
        </w:r>
        <w:r w:rsidR="00D92463">
          <w:rPr>
            <w:webHidden/>
          </w:rPr>
          <w:fldChar w:fldCharType="begin"/>
        </w:r>
        <w:r w:rsidR="00D92463">
          <w:rPr>
            <w:webHidden/>
          </w:rPr>
          <w:instrText xml:space="preserve"> PAGEREF _Toc476658100 \h </w:instrText>
        </w:r>
        <w:r w:rsidR="00D92463">
          <w:rPr>
            <w:webHidden/>
          </w:rPr>
        </w:r>
        <w:r w:rsidR="00D92463">
          <w:rPr>
            <w:webHidden/>
          </w:rPr>
          <w:fldChar w:fldCharType="separate"/>
        </w:r>
        <w:r w:rsidR="002536F9">
          <w:rPr>
            <w:webHidden/>
          </w:rPr>
          <w:t>33</w:t>
        </w:r>
        <w:r w:rsidR="00D92463">
          <w:rPr>
            <w:webHidden/>
          </w:rPr>
          <w:fldChar w:fldCharType="end"/>
        </w:r>
      </w:hyperlink>
    </w:p>
    <w:p w14:paraId="1A090051" w14:textId="77777777" w:rsidR="00D92463" w:rsidRDefault="000A3679">
      <w:pPr>
        <w:pStyle w:val="TOC6"/>
        <w:tabs>
          <w:tab w:val="left" w:pos="1800"/>
        </w:tabs>
        <w:rPr>
          <w:spacing w:val="0"/>
          <w:sz w:val="22"/>
          <w:szCs w:val="22"/>
          <w:lang w:eastAsia="en-AU"/>
        </w:rPr>
      </w:pPr>
      <w:hyperlink w:anchor="_Toc476658101" w:history="1">
        <w:r w:rsidR="00D92463" w:rsidRPr="006072D5">
          <w:rPr>
            <w:rStyle w:val="Hyperlink"/>
          </w:rPr>
          <w:t>1.4.3</w:t>
        </w:r>
        <w:r w:rsidR="00D92463">
          <w:rPr>
            <w:spacing w:val="0"/>
            <w:sz w:val="22"/>
            <w:szCs w:val="22"/>
            <w:lang w:eastAsia="en-AU"/>
          </w:rPr>
          <w:tab/>
        </w:r>
        <w:r w:rsidR="00D92463" w:rsidRPr="006072D5">
          <w:rPr>
            <w:rStyle w:val="Hyperlink"/>
          </w:rPr>
          <w:t>Restrictions on section 35 of the FMA</w:t>
        </w:r>
        <w:r w:rsidR="00D92463">
          <w:rPr>
            <w:webHidden/>
          </w:rPr>
          <w:tab/>
        </w:r>
        <w:r w:rsidR="00D92463">
          <w:rPr>
            <w:webHidden/>
          </w:rPr>
          <w:fldChar w:fldCharType="begin"/>
        </w:r>
        <w:r w:rsidR="00D92463">
          <w:rPr>
            <w:webHidden/>
          </w:rPr>
          <w:instrText xml:space="preserve"> PAGEREF _Toc476658101 \h </w:instrText>
        </w:r>
        <w:r w:rsidR="00D92463">
          <w:rPr>
            <w:webHidden/>
          </w:rPr>
        </w:r>
        <w:r w:rsidR="00D92463">
          <w:rPr>
            <w:webHidden/>
          </w:rPr>
          <w:fldChar w:fldCharType="separate"/>
        </w:r>
        <w:r w:rsidR="002536F9">
          <w:rPr>
            <w:webHidden/>
          </w:rPr>
          <w:t>33</w:t>
        </w:r>
        <w:r w:rsidR="00D92463">
          <w:rPr>
            <w:webHidden/>
          </w:rPr>
          <w:fldChar w:fldCharType="end"/>
        </w:r>
      </w:hyperlink>
    </w:p>
    <w:p w14:paraId="665DD1F4" w14:textId="77777777" w:rsidR="00D92463" w:rsidRDefault="000A3679">
      <w:pPr>
        <w:pStyle w:val="TOC5"/>
        <w:tabs>
          <w:tab w:val="left" w:pos="1080"/>
        </w:tabs>
        <w:rPr>
          <w:spacing w:val="0"/>
          <w:sz w:val="22"/>
          <w:szCs w:val="22"/>
          <w:lang w:eastAsia="en-AU"/>
        </w:rPr>
      </w:pPr>
      <w:hyperlink w:anchor="_Toc476658102" w:history="1">
        <w:r w:rsidR="00D92463" w:rsidRPr="006072D5">
          <w:rPr>
            <w:rStyle w:val="Hyperlink"/>
          </w:rPr>
          <w:t>1.5</w:t>
        </w:r>
        <w:r w:rsidR="00D92463">
          <w:rPr>
            <w:spacing w:val="0"/>
            <w:sz w:val="22"/>
            <w:szCs w:val="22"/>
            <w:lang w:eastAsia="en-AU"/>
          </w:rPr>
          <w:tab/>
        </w:r>
        <w:r w:rsidR="00D92463" w:rsidRPr="006072D5">
          <w:rPr>
            <w:rStyle w:val="Hyperlink"/>
          </w:rPr>
          <w:t>Borrowing against future appropriation – section 28 of the FMA</w:t>
        </w:r>
        <w:r w:rsidR="00D92463">
          <w:rPr>
            <w:webHidden/>
          </w:rPr>
          <w:tab/>
        </w:r>
        <w:r w:rsidR="00D92463">
          <w:rPr>
            <w:webHidden/>
          </w:rPr>
          <w:fldChar w:fldCharType="begin"/>
        </w:r>
        <w:r w:rsidR="00D92463">
          <w:rPr>
            <w:webHidden/>
          </w:rPr>
          <w:instrText xml:space="preserve"> PAGEREF _Toc476658102 \h </w:instrText>
        </w:r>
        <w:r w:rsidR="00D92463">
          <w:rPr>
            <w:webHidden/>
          </w:rPr>
        </w:r>
        <w:r w:rsidR="00D92463">
          <w:rPr>
            <w:webHidden/>
          </w:rPr>
          <w:fldChar w:fldCharType="separate"/>
        </w:r>
        <w:r w:rsidR="002536F9">
          <w:rPr>
            <w:webHidden/>
          </w:rPr>
          <w:t>35</w:t>
        </w:r>
        <w:r w:rsidR="00D92463">
          <w:rPr>
            <w:webHidden/>
          </w:rPr>
          <w:fldChar w:fldCharType="end"/>
        </w:r>
      </w:hyperlink>
    </w:p>
    <w:p w14:paraId="384C7620" w14:textId="77777777" w:rsidR="00D92463" w:rsidRDefault="000A3679">
      <w:pPr>
        <w:pStyle w:val="TOC6"/>
        <w:tabs>
          <w:tab w:val="left" w:pos="1800"/>
        </w:tabs>
        <w:rPr>
          <w:spacing w:val="0"/>
          <w:sz w:val="22"/>
          <w:szCs w:val="22"/>
          <w:lang w:eastAsia="en-AU"/>
        </w:rPr>
      </w:pPr>
      <w:hyperlink w:anchor="_Toc476658103" w:history="1">
        <w:r w:rsidR="00D92463" w:rsidRPr="006072D5">
          <w:rPr>
            <w:rStyle w:val="Hyperlink"/>
          </w:rPr>
          <w:t>1.5.1</w:t>
        </w:r>
        <w:r w:rsidR="00D92463">
          <w:rPr>
            <w:spacing w:val="0"/>
            <w:sz w:val="22"/>
            <w:szCs w:val="22"/>
            <w:lang w:eastAsia="en-AU"/>
          </w:rPr>
          <w:tab/>
        </w:r>
        <w:r w:rsidR="00D92463" w:rsidRPr="006072D5">
          <w:rPr>
            <w:rStyle w:val="Hyperlink"/>
          </w:rPr>
          <w:t>Process and requirements for section 28 ‘Borrowing against future appropriation’ requests</w:t>
        </w:r>
        <w:r w:rsidR="00D92463">
          <w:rPr>
            <w:webHidden/>
          </w:rPr>
          <w:tab/>
        </w:r>
        <w:r w:rsidR="00D92463">
          <w:rPr>
            <w:webHidden/>
          </w:rPr>
          <w:fldChar w:fldCharType="begin"/>
        </w:r>
        <w:r w:rsidR="00D92463">
          <w:rPr>
            <w:webHidden/>
          </w:rPr>
          <w:instrText xml:space="preserve"> PAGEREF _Toc476658103 \h </w:instrText>
        </w:r>
        <w:r w:rsidR="00D92463">
          <w:rPr>
            <w:webHidden/>
          </w:rPr>
        </w:r>
        <w:r w:rsidR="00D92463">
          <w:rPr>
            <w:webHidden/>
          </w:rPr>
          <w:fldChar w:fldCharType="separate"/>
        </w:r>
        <w:r w:rsidR="002536F9">
          <w:rPr>
            <w:webHidden/>
          </w:rPr>
          <w:t>35</w:t>
        </w:r>
        <w:r w:rsidR="00D92463">
          <w:rPr>
            <w:webHidden/>
          </w:rPr>
          <w:fldChar w:fldCharType="end"/>
        </w:r>
      </w:hyperlink>
    </w:p>
    <w:p w14:paraId="685C8676" w14:textId="77777777" w:rsidR="00D92463" w:rsidRDefault="000A3679">
      <w:pPr>
        <w:pStyle w:val="TOC6"/>
        <w:tabs>
          <w:tab w:val="left" w:pos="1800"/>
        </w:tabs>
        <w:rPr>
          <w:spacing w:val="0"/>
          <w:sz w:val="22"/>
          <w:szCs w:val="22"/>
          <w:lang w:eastAsia="en-AU"/>
        </w:rPr>
      </w:pPr>
      <w:hyperlink w:anchor="_Toc476658104" w:history="1">
        <w:r w:rsidR="00D92463" w:rsidRPr="006072D5">
          <w:rPr>
            <w:rStyle w:val="Hyperlink"/>
          </w:rPr>
          <w:t>1.5.2</w:t>
        </w:r>
        <w:r w:rsidR="00D92463">
          <w:rPr>
            <w:spacing w:val="0"/>
            <w:sz w:val="22"/>
            <w:szCs w:val="22"/>
            <w:lang w:eastAsia="en-AU"/>
          </w:rPr>
          <w:tab/>
        </w:r>
        <w:r w:rsidR="00D92463" w:rsidRPr="006072D5">
          <w:rPr>
            <w:rStyle w:val="Hyperlink"/>
          </w:rPr>
          <w:t>Reporting on section 28 ‘Borrowing against future appropriation’ expenditure</w:t>
        </w:r>
        <w:r w:rsidR="00D92463">
          <w:rPr>
            <w:webHidden/>
          </w:rPr>
          <w:tab/>
        </w:r>
        <w:r w:rsidR="00D92463">
          <w:rPr>
            <w:webHidden/>
          </w:rPr>
          <w:fldChar w:fldCharType="begin"/>
        </w:r>
        <w:r w:rsidR="00D92463">
          <w:rPr>
            <w:webHidden/>
          </w:rPr>
          <w:instrText xml:space="preserve"> PAGEREF _Toc476658104 \h </w:instrText>
        </w:r>
        <w:r w:rsidR="00D92463">
          <w:rPr>
            <w:webHidden/>
          </w:rPr>
        </w:r>
        <w:r w:rsidR="00D92463">
          <w:rPr>
            <w:webHidden/>
          </w:rPr>
          <w:fldChar w:fldCharType="separate"/>
        </w:r>
        <w:r w:rsidR="002536F9">
          <w:rPr>
            <w:webHidden/>
          </w:rPr>
          <w:t>35</w:t>
        </w:r>
        <w:r w:rsidR="00D92463">
          <w:rPr>
            <w:webHidden/>
          </w:rPr>
          <w:fldChar w:fldCharType="end"/>
        </w:r>
      </w:hyperlink>
    </w:p>
    <w:p w14:paraId="7F5CD974" w14:textId="280F2B22" w:rsidR="00D92463" w:rsidRDefault="00D92463" w:rsidP="00D92463">
      <w:pPr>
        <w:pStyle w:val="TOCHeading"/>
      </w:pPr>
      <w:r>
        <w:lastRenderedPageBreak/>
        <w:t>Contents (</w:t>
      </w:r>
      <w:r w:rsidRPr="00D92463">
        <w:rPr>
          <w:i/>
        </w:rPr>
        <w:t>continued</w:t>
      </w:r>
      <w:r>
        <w:t>)</w:t>
      </w:r>
    </w:p>
    <w:p w14:paraId="409F38BB" w14:textId="77777777" w:rsidR="00D92463" w:rsidRDefault="000A3679" w:rsidP="00D92463">
      <w:pPr>
        <w:pStyle w:val="TOC5"/>
        <w:keepNext/>
        <w:tabs>
          <w:tab w:val="left" w:pos="1080"/>
        </w:tabs>
        <w:rPr>
          <w:spacing w:val="0"/>
          <w:sz w:val="22"/>
          <w:szCs w:val="22"/>
          <w:lang w:eastAsia="en-AU"/>
        </w:rPr>
      </w:pPr>
      <w:hyperlink w:anchor="_Toc476658105" w:history="1">
        <w:r w:rsidR="00D92463" w:rsidRPr="006072D5">
          <w:rPr>
            <w:rStyle w:val="Hyperlink"/>
          </w:rPr>
          <w:t>1.6</w:t>
        </w:r>
        <w:r w:rsidR="00D92463">
          <w:rPr>
            <w:spacing w:val="0"/>
            <w:sz w:val="22"/>
            <w:szCs w:val="22"/>
            <w:lang w:eastAsia="en-AU"/>
          </w:rPr>
          <w:tab/>
        </w:r>
        <w:r w:rsidR="00D92463" w:rsidRPr="006072D5">
          <w:rPr>
            <w:rStyle w:val="Hyperlink"/>
          </w:rPr>
          <w:t>Transfers between items of Departmental appropriation – section 30 of the FMA</w:t>
        </w:r>
        <w:r w:rsidR="00D92463">
          <w:rPr>
            <w:webHidden/>
          </w:rPr>
          <w:tab/>
        </w:r>
        <w:r w:rsidR="00D92463">
          <w:rPr>
            <w:webHidden/>
          </w:rPr>
          <w:fldChar w:fldCharType="begin"/>
        </w:r>
        <w:r w:rsidR="00D92463">
          <w:rPr>
            <w:webHidden/>
          </w:rPr>
          <w:instrText xml:space="preserve"> PAGEREF _Toc476658105 \h </w:instrText>
        </w:r>
        <w:r w:rsidR="00D92463">
          <w:rPr>
            <w:webHidden/>
          </w:rPr>
        </w:r>
        <w:r w:rsidR="00D92463">
          <w:rPr>
            <w:webHidden/>
          </w:rPr>
          <w:fldChar w:fldCharType="separate"/>
        </w:r>
        <w:r w:rsidR="002536F9">
          <w:rPr>
            <w:webHidden/>
          </w:rPr>
          <w:t>37</w:t>
        </w:r>
        <w:r w:rsidR="00D92463">
          <w:rPr>
            <w:webHidden/>
          </w:rPr>
          <w:fldChar w:fldCharType="end"/>
        </w:r>
      </w:hyperlink>
    </w:p>
    <w:p w14:paraId="37502BEF" w14:textId="77777777" w:rsidR="00D92463" w:rsidRDefault="000A3679">
      <w:pPr>
        <w:pStyle w:val="TOC6"/>
        <w:tabs>
          <w:tab w:val="left" w:pos="1800"/>
        </w:tabs>
        <w:rPr>
          <w:spacing w:val="0"/>
          <w:sz w:val="22"/>
          <w:szCs w:val="22"/>
          <w:lang w:eastAsia="en-AU"/>
        </w:rPr>
      </w:pPr>
      <w:hyperlink w:anchor="_Toc476658106" w:history="1">
        <w:r w:rsidR="00D92463" w:rsidRPr="006072D5">
          <w:rPr>
            <w:rStyle w:val="Hyperlink"/>
          </w:rPr>
          <w:t>1.6.1</w:t>
        </w:r>
        <w:r w:rsidR="00D92463">
          <w:rPr>
            <w:spacing w:val="0"/>
            <w:sz w:val="22"/>
            <w:szCs w:val="22"/>
            <w:lang w:eastAsia="en-AU"/>
          </w:rPr>
          <w:tab/>
        </w:r>
        <w:r w:rsidR="00D92463" w:rsidRPr="006072D5">
          <w:rPr>
            <w:rStyle w:val="Hyperlink"/>
          </w:rPr>
          <w:t>Process and requirements for section 30 appropriation transfers</w:t>
        </w:r>
        <w:r w:rsidR="00D92463">
          <w:rPr>
            <w:webHidden/>
          </w:rPr>
          <w:tab/>
        </w:r>
        <w:r w:rsidR="00D92463">
          <w:rPr>
            <w:webHidden/>
          </w:rPr>
          <w:fldChar w:fldCharType="begin"/>
        </w:r>
        <w:r w:rsidR="00D92463">
          <w:rPr>
            <w:webHidden/>
          </w:rPr>
          <w:instrText xml:space="preserve"> PAGEREF _Toc476658106 \h </w:instrText>
        </w:r>
        <w:r w:rsidR="00D92463">
          <w:rPr>
            <w:webHidden/>
          </w:rPr>
        </w:r>
        <w:r w:rsidR="00D92463">
          <w:rPr>
            <w:webHidden/>
          </w:rPr>
          <w:fldChar w:fldCharType="separate"/>
        </w:r>
        <w:r w:rsidR="002536F9">
          <w:rPr>
            <w:webHidden/>
          </w:rPr>
          <w:t>37</w:t>
        </w:r>
        <w:r w:rsidR="00D92463">
          <w:rPr>
            <w:webHidden/>
          </w:rPr>
          <w:fldChar w:fldCharType="end"/>
        </w:r>
      </w:hyperlink>
    </w:p>
    <w:p w14:paraId="19B24D0A" w14:textId="77777777" w:rsidR="00D92463" w:rsidRDefault="000A3679">
      <w:pPr>
        <w:pStyle w:val="TOC6"/>
        <w:tabs>
          <w:tab w:val="left" w:pos="1800"/>
        </w:tabs>
        <w:rPr>
          <w:spacing w:val="0"/>
          <w:sz w:val="22"/>
          <w:szCs w:val="22"/>
          <w:lang w:eastAsia="en-AU"/>
        </w:rPr>
      </w:pPr>
      <w:hyperlink w:anchor="_Toc476658107" w:history="1">
        <w:r w:rsidR="00D92463" w:rsidRPr="006072D5">
          <w:rPr>
            <w:rStyle w:val="Hyperlink"/>
          </w:rPr>
          <w:t>1.6.2</w:t>
        </w:r>
        <w:r w:rsidR="00D92463">
          <w:rPr>
            <w:spacing w:val="0"/>
            <w:sz w:val="22"/>
            <w:szCs w:val="22"/>
            <w:lang w:eastAsia="en-AU"/>
          </w:rPr>
          <w:tab/>
        </w:r>
        <w:r w:rsidR="00D92463" w:rsidRPr="006072D5">
          <w:rPr>
            <w:rStyle w:val="Hyperlink"/>
          </w:rPr>
          <w:t>Reporting on section 30 FMA expenditure</w:t>
        </w:r>
        <w:r w:rsidR="00D92463">
          <w:rPr>
            <w:webHidden/>
          </w:rPr>
          <w:tab/>
        </w:r>
        <w:r w:rsidR="00D92463">
          <w:rPr>
            <w:webHidden/>
          </w:rPr>
          <w:fldChar w:fldCharType="begin"/>
        </w:r>
        <w:r w:rsidR="00D92463">
          <w:rPr>
            <w:webHidden/>
          </w:rPr>
          <w:instrText xml:space="preserve"> PAGEREF _Toc476658107 \h </w:instrText>
        </w:r>
        <w:r w:rsidR="00D92463">
          <w:rPr>
            <w:webHidden/>
          </w:rPr>
        </w:r>
        <w:r w:rsidR="00D92463">
          <w:rPr>
            <w:webHidden/>
          </w:rPr>
          <w:fldChar w:fldCharType="separate"/>
        </w:r>
        <w:r w:rsidR="002536F9">
          <w:rPr>
            <w:webHidden/>
          </w:rPr>
          <w:t>37</w:t>
        </w:r>
        <w:r w:rsidR="00D92463">
          <w:rPr>
            <w:webHidden/>
          </w:rPr>
          <w:fldChar w:fldCharType="end"/>
        </w:r>
      </w:hyperlink>
    </w:p>
    <w:p w14:paraId="68422A9C" w14:textId="77777777" w:rsidR="00D92463" w:rsidRDefault="000A3679">
      <w:pPr>
        <w:pStyle w:val="TOC5"/>
        <w:tabs>
          <w:tab w:val="left" w:pos="1080"/>
        </w:tabs>
        <w:rPr>
          <w:spacing w:val="0"/>
          <w:sz w:val="22"/>
          <w:szCs w:val="22"/>
          <w:lang w:eastAsia="en-AU"/>
        </w:rPr>
      </w:pPr>
      <w:hyperlink w:anchor="_Toc476658108" w:history="1">
        <w:r w:rsidR="00D92463" w:rsidRPr="006072D5">
          <w:rPr>
            <w:rStyle w:val="Hyperlink"/>
          </w:rPr>
          <w:t>1.7</w:t>
        </w:r>
        <w:r w:rsidR="00D92463">
          <w:rPr>
            <w:spacing w:val="0"/>
            <w:sz w:val="22"/>
            <w:szCs w:val="22"/>
            <w:lang w:eastAsia="en-AU"/>
          </w:rPr>
          <w:tab/>
        </w:r>
        <w:r w:rsidR="00D92463" w:rsidRPr="006072D5">
          <w:rPr>
            <w:rStyle w:val="Hyperlink"/>
          </w:rPr>
          <w:t>Carryover (of unused appropriation) – section 32 of the FMA</w:t>
        </w:r>
        <w:r w:rsidR="00D92463">
          <w:rPr>
            <w:webHidden/>
          </w:rPr>
          <w:tab/>
        </w:r>
        <w:r w:rsidR="00D92463">
          <w:rPr>
            <w:webHidden/>
          </w:rPr>
          <w:fldChar w:fldCharType="begin"/>
        </w:r>
        <w:r w:rsidR="00D92463">
          <w:rPr>
            <w:webHidden/>
          </w:rPr>
          <w:instrText xml:space="preserve"> PAGEREF _Toc476658108 \h </w:instrText>
        </w:r>
        <w:r w:rsidR="00D92463">
          <w:rPr>
            <w:webHidden/>
          </w:rPr>
        </w:r>
        <w:r w:rsidR="00D92463">
          <w:rPr>
            <w:webHidden/>
          </w:rPr>
          <w:fldChar w:fldCharType="separate"/>
        </w:r>
        <w:r w:rsidR="002536F9">
          <w:rPr>
            <w:webHidden/>
          </w:rPr>
          <w:t>39</w:t>
        </w:r>
        <w:r w:rsidR="00D92463">
          <w:rPr>
            <w:webHidden/>
          </w:rPr>
          <w:fldChar w:fldCharType="end"/>
        </w:r>
      </w:hyperlink>
    </w:p>
    <w:p w14:paraId="4D69826E" w14:textId="77777777" w:rsidR="00D92463" w:rsidRDefault="000A3679">
      <w:pPr>
        <w:pStyle w:val="TOC6"/>
        <w:tabs>
          <w:tab w:val="left" w:pos="1800"/>
        </w:tabs>
        <w:rPr>
          <w:spacing w:val="0"/>
          <w:sz w:val="22"/>
          <w:szCs w:val="22"/>
          <w:lang w:eastAsia="en-AU"/>
        </w:rPr>
      </w:pPr>
      <w:hyperlink w:anchor="_Toc476658109" w:history="1">
        <w:r w:rsidR="00D92463" w:rsidRPr="006072D5">
          <w:rPr>
            <w:rStyle w:val="Hyperlink"/>
          </w:rPr>
          <w:t>1.7.1</w:t>
        </w:r>
        <w:r w:rsidR="00D92463">
          <w:rPr>
            <w:spacing w:val="0"/>
            <w:sz w:val="22"/>
            <w:szCs w:val="22"/>
            <w:lang w:eastAsia="en-AU"/>
          </w:rPr>
          <w:tab/>
        </w:r>
        <w:r w:rsidR="00D92463" w:rsidRPr="006072D5">
          <w:rPr>
            <w:rStyle w:val="Hyperlink"/>
          </w:rPr>
          <w:t>Process and requirements for requests for carryover of appropriation</w:t>
        </w:r>
        <w:r w:rsidR="00D92463">
          <w:rPr>
            <w:webHidden/>
          </w:rPr>
          <w:tab/>
        </w:r>
        <w:r w:rsidR="00D92463">
          <w:rPr>
            <w:webHidden/>
          </w:rPr>
          <w:fldChar w:fldCharType="begin"/>
        </w:r>
        <w:r w:rsidR="00D92463">
          <w:rPr>
            <w:webHidden/>
          </w:rPr>
          <w:instrText xml:space="preserve"> PAGEREF _Toc476658109 \h </w:instrText>
        </w:r>
        <w:r w:rsidR="00D92463">
          <w:rPr>
            <w:webHidden/>
          </w:rPr>
        </w:r>
        <w:r w:rsidR="00D92463">
          <w:rPr>
            <w:webHidden/>
          </w:rPr>
          <w:fldChar w:fldCharType="separate"/>
        </w:r>
        <w:r w:rsidR="002536F9">
          <w:rPr>
            <w:webHidden/>
          </w:rPr>
          <w:t>39</w:t>
        </w:r>
        <w:r w:rsidR="00D92463">
          <w:rPr>
            <w:webHidden/>
          </w:rPr>
          <w:fldChar w:fldCharType="end"/>
        </w:r>
      </w:hyperlink>
    </w:p>
    <w:p w14:paraId="63BD950B" w14:textId="77777777" w:rsidR="00D92463" w:rsidRDefault="000A3679">
      <w:pPr>
        <w:pStyle w:val="TOC6"/>
        <w:tabs>
          <w:tab w:val="left" w:pos="1800"/>
        </w:tabs>
        <w:rPr>
          <w:spacing w:val="0"/>
          <w:sz w:val="22"/>
          <w:szCs w:val="22"/>
          <w:lang w:eastAsia="en-AU"/>
        </w:rPr>
      </w:pPr>
      <w:hyperlink w:anchor="_Toc476658110" w:history="1">
        <w:r w:rsidR="00D92463" w:rsidRPr="006072D5">
          <w:rPr>
            <w:rStyle w:val="Hyperlink"/>
          </w:rPr>
          <w:t>1.7.2</w:t>
        </w:r>
        <w:r w:rsidR="00D92463">
          <w:rPr>
            <w:spacing w:val="0"/>
            <w:sz w:val="22"/>
            <w:szCs w:val="22"/>
            <w:lang w:eastAsia="en-AU"/>
          </w:rPr>
          <w:tab/>
        </w:r>
        <w:r w:rsidR="00D92463" w:rsidRPr="006072D5">
          <w:rPr>
            <w:rStyle w:val="Hyperlink"/>
          </w:rPr>
          <w:t>General carryover approval conditions and limits</w:t>
        </w:r>
        <w:r w:rsidR="00D92463">
          <w:rPr>
            <w:webHidden/>
          </w:rPr>
          <w:tab/>
        </w:r>
        <w:r w:rsidR="00D92463">
          <w:rPr>
            <w:webHidden/>
          </w:rPr>
          <w:fldChar w:fldCharType="begin"/>
        </w:r>
        <w:r w:rsidR="00D92463">
          <w:rPr>
            <w:webHidden/>
          </w:rPr>
          <w:instrText xml:space="preserve"> PAGEREF _Toc476658110 \h </w:instrText>
        </w:r>
        <w:r w:rsidR="00D92463">
          <w:rPr>
            <w:webHidden/>
          </w:rPr>
        </w:r>
        <w:r w:rsidR="00D92463">
          <w:rPr>
            <w:webHidden/>
          </w:rPr>
          <w:fldChar w:fldCharType="separate"/>
        </w:r>
        <w:r w:rsidR="002536F9">
          <w:rPr>
            <w:webHidden/>
          </w:rPr>
          <w:t>39</w:t>
        </w:r>
        <w:r w:rsidR="00D92463">
          <w:rPr>
            <w:webHidden/>
          </w:rPr>
          <w:fldChar w:fldCharType="end"/>
        </w:r>
      </w:hyperlink>
    </w:p>
    <w:p w14:paraId="7B0BB417" w14:textId="77777777" w:rsidR="00D92463" w:rsidRDefault="000A3679">
      <w:pPr>
        <w:pStyle w:val="TOC6"/>
        <w:tabs>
          <w:tab w:val="left" w:pos="1800"/>
        </w:tabs>
        <w:rPr>
          <w:spacing w:val="0"/>
          <w:sz w:val="22"/>
          <w:szCs w:val="22"/>
          <w:lang w:eastAsia="en-AU"/>
        </w:rPr>
      </w:pPr>
      <w:hyperlink w:anchor="_Toc476658111" w:history="1">
        <w:r w:rsidR="00D92463" w:rsidRPr="006072D5">
          <w:rPr>
            <w:rStyle w:val="Hyperlink"/>
          </w:rPr>
          <w:t>1.7.3</w:t>
        </w:r>
        <w:r w:rsidR="00D92463">
          <w:rPr>
            <w:spacing w:val="0"/>
            <w:sz w:val="22"/>
            <w:szCs w:val="22"/>
            <w:lang w:eastAsia="en-AU"/>
          </w:rPr>
          <w:tab/>
        </w:r>
        <w:r w:rsidR="00D92463" w:rsidRPr="006072D5">
          <w:rPr>
            <w:rStyle w:val="Hyperlink"/>
          </w:rPr>
          <w:t>Specific conditions for carryover for output appropriation</w:t>
        </w:r>
        <w:r w:rsidR="00D92463">
          <w:rPr>
            <w:webHidden/>
          </w:rPr>
          <w:tab/>
        </w:r>
        <w:r w:rsidR="00D92463">
          <w:rPr>
            <w:webHidden/>
          </w:rPr>
          <w:fldChar w:fldCharType="begin"/>
        </w:r>
        <w:r w:rsidR="00D92463">
          <w:rPr>
            <w:webHidden/>
          </w:rPr>
          <w:instrText xml:space="preserve"> PAGEREF _Toc476658111 \h </w:instrText>
        </w:r>
        <w:r w:rsidR="00D92463">
          <w:rPr>
            <w:webHidden/>
          </w:rPr>
        </w:r>
        <w:r w:rsidR="00D92463">
          <w:rPr>
            <w:webHidden/>
          </w:rPr>
          <w:fldChar w:fldCharType="separate"/>
        </w:r>
        <w:r w:rsidR="002536F9">
          <w:rPr>
            <w:webHidden/>
          </w:rPr>
          <w:t>39</w:t>
        </w:r>
        <w:r w:rsidR="00D92463">
          <w:rPr>
            <w:webHidden/>
          </w:rPr>
          <w:fldChar w:fldCharType="end"/>
        </w:r>
      </w:hyperlink>
    </w:p>
    <w:p w14:paraId="0B08C22E" w14:textId="77777777" w:rsidR="00D92463" w:rsidRDefault="000A3679">
      <w:pPr>
        <w:pStyle w:val="TOC5"/>
        <w:tabs>
          <w:tab w:val="left" w:pos="1080"/>
        </w:tabs>
        <w:rPr>
          <w:spacing w:val="0"/>
          <w:sz w:val="22"/>
          <w:szCs w:val="22"/>
          <w:lang w:eastAsia="en-AU"/>
        </w:rPr>
      </w:pPr>
      <w:hyperlink w:anchor="_Toc476658112" w:history="1">
        <w:r w:rsidR="00D92463" w:rsidRPr="006072D5">
          <w:rPr>
            <w:rStyle w:val="Hyperlink"/>
          </w:rPr>
          <w:t>1.8</w:t>
        </w:r>
        <w:r w:rsidR="00D92463">
          <w:rPr>
            <w:spacing w:val="0"/>
            <w:sz w:val="22"/>
            <w:szCs w:val="22"/>
            <w:lang w:eastAsia="en-AU"/>
          </w:rPr>
          <w:tab/>
        </w:r>
        <w:r w:rsidR="00D92463" w:rsidRPr="006072D5">
          <w:rPr>
            <w:rStyle w:val="Hyperlink"/>
          </w:rPr>
          <w:t>Access to previously appropriated amounts under section 33 of the FMA</w:t>
        </w:r>
        <w:r w:rsidR="00D92463">
          <w:rPr>
            <w:webHidden/>
          </w:rPr>
          <w:tab/>
        </w:r>
        <w:r w:rsidR="00D92463">
          <w:rPr>
            <w:webHidden/>
          </w:rPr>
          <w:fldChar w:fldCharType="begin"/>
        </w:r>
        <w:r w:rsidR="00D92463">
          <w:rPr>
            <w:webHidden/>
          </w:rPr>
          <w:instrText xml:space="preserve"> PAGEREF _Toc476658112 \h </w:instrText>
        </w:r>
        <w:r w:rsidR="00D92463">
          <w:rPr>
            <w:webHidden/>
          </w:rPr>
        </w:r>
        <w:r w:rsidR="00D92463">
          <w:rPr>
            <w:webHidden/>
          </w:rPr>
          <w:fldChar w:fldCharType="separate"/>
        </w:r>
        <w:r w:rsidR="002536F9">
          <w:rPr>
            <w:webHidden/>
          </w:rPr>
          <w:t>42</w:t>
        </w:r>
        <w:r w:rsidR="00D92463">
          <w:rPr>
            <w:webHidden/>
          </w:rPr>
          <w:fldChar w:fldCharType="end"/>
        </w:r>
      </w:hyperlink>
    </w:p>
    <w:p w14:paraId="6A0E20DF" w14:textId="77777777" w:rsidR="00D92463" w:rsidRDefault="000A3679">
      <w:pPr>
        <w:pStyle w:val="TOC6"/>
        <w:tabs>
          <w:tab w:val="left" w:pos="1800"/>
        </w:tabs>
        <w:rPr>
          <w:spacing w:val="0"/>
          <w:sz w:val="22"/>
          <w:szCs w:val="22"/>
          <w:lang w:eastAsia="en-AU"/>
        </w:rPr>
      </w:pPr>
      <w:hyperlink w:anchor="_Toc476658113" w:history="1">
        <w:r w:rsidR="00D92463" w:rsidRPr="006072D5">
          <w:rPr>
            <w:rStyle w:val="Hyperlink"/>
          </w:rPr>
          <w:t>1.8.1</w:t>
        </w:r>
        <w:r w:rsidR="00D92463">
          <w:rPr>
            <w:spacing w:val="0"/>
            <w:sz w:val="22"/>
            <w:szCs w:val="22"/>
            <w:lang w:eastAsia="en-AU"/>
          </w:rPr>
          <w:tab/>
        </w:r>
        <w:r w:rsidR="00D92463" w:rsidRPr="006072D5">
          <w:rPr>
            <w:rStyle w:val="Hyperlink"/>
          </w:rPr>
          <w:t>Applications of section 33 of the FMA</w:t>
        </w:r>
        <w:r w:rsidR="00D92463">
          <w:rPr>
            <w:webHidden/>
          </w:rPr>
          <w:tab/>
        </w:r>
        <w:r w:rsidR="00D92463">
          <w:rPr>
            <w:webHidden/>
          </w:rPr>
          <w:fldChar w:fldCharType="begin"/>
        </w:r>
        <w:r w:rsidR="00D92463">
          <w:rPr>
            <w:webHidden/>
          </w:rPr>
          <w:instrText xml:space="preserve"> PAGEREF _Toc476658113 \h </w:instrText>
        </w:r>
        <w:r w:rsidR="00D92463">
          <w:rPr>
            <w:webHidden/>
          </w:rPr>
        </w:r>
        <w:r w:rsidR="00D92463">
          <w:rPr>
            <w:webHidden/>
          </w:rPr>
          <w:fldChar w:fldCharType="separate"/>
        </w:r>
        <w:r w:rsidR="002536F9">
          <w:rPr>
            <w:webHidden/>
          </w:rPr>
          <w:t>42</w:t>
        </w:r>
        <w:r w:rsidR="00D92463">
          <w:rPr>
            <w:webHidden/>
          </w:rPr>
          <w:fldChar w:fldCharType="end"/>
        </w:r>
      </w:hyperlink>
    </w:p>
    <w:p w14:paraId="3B0FF3C3" w14:textId="77777777" w:rsidR="00D92463" w:rsidRDefault="000A3679">
      <w:pPr>
        <w:pStyle w:val="TOC6"/>
        <w:tabs>
          <w:tab w:val="left" w:pos="1800"/>
        </w:tabs>
        <w:rPr>
          <w:spacing w:val="0"/>
          <w:sz w:val="22"/>
          <w:szCs w:val="22"/>
          <w:lang w:eastAsia="en-AU"/>
        </w:rPr>
      </w:pPr>
      <w:hyperlink w:anchor="_Toc476658114" w:history="1">
        <w:r w:rsidR="00D92463" w:rsidRPr="006072D5">
          <w:rPr>
            <w:rStyle w:val="Hyperlink"/>
          </w:rPr>
          <w:t>1.8.2</w:t>
        </w:r>
        <w:r w:rsidR="00D92463">
          <w:rPr>
            <w:spacing w:val="0"/>
            <w:sz w:val="22"/>
            <w:szCs w:val="22"/>
            <w:lang w:eastAsia="en-AU"/>
          </w:rPr>
          <w:tab/>
        </w:r>
        <w:r w:rsidR="00D92463" w:rsidRPr="006072D5">
          <w:rPr>
            <w:rStyle w:val="Hyperlink"/>
          </w:rPr>
          <w:t>Process and requirements for section 33 of the FMA</w:t>
        </w:r>
        <w:r w:rsidR="00D92463">
          <w:rPr>
            <w:webHidden/>
          </w:rPr>
          <w:tab/>
        </w:r>
        <w:r w:rsidR="00D92463">
          <w:rPr>
            <w:webHidden/>
          </w:rPr>
          <w:fldChar w:fldCharType="begin"/>
        </w:r>
        <w:r w:rsidR="00D92463">
          <w:rPr>
            <w:webHidden/>
          </w:rPr>
          <w:instrText xml:space="preserve"> PAGEREF _Toc476658114 \h </w:instrText>
        </w:r>
        <w:r w:rsidR="00D92463">
          <w:rPr>
            <w:webHidden/>
          </w:rPr>
        </w:r>
        <w:r w:rsidR="00D92463">
          <w:rPr>
            <w:webHidden/>
          </w:rPr>
          <w:fldChar w:fldCharType="separate"/>
        </w:r>
        <w:r w:rsidR="002536F9">
          <w:rPr>
            <w:webHidden/>
          </w:rPr>
          <w:t>42</w:t>
        </w:r>
        <w:r w:rsidR="00D92463">
          <w:rPr>
            <w:webHidden/>
          </w:rPr>
          <w:fldChar w:fldCharType="end"/>
        </w:r>
      </w:hyperlink>
    </w:p>
    <w:p w14:paraId="6E075721" w14:textId="77777777" w:rsidR="00D92463" w:rsidRDefault="000A3679">
      <w:pPr>
        <w:pStyle w:val="TOC6"/>
        <w:tabs>
          <w:tab w:val="left" w:pos="1800"/>
        </w:tabs>
        <w:rPr>
          <w:spacing w:val="0"/>
          <w:sz w:val="22"/>
          <w:szCs w:val="22"/>
          <w:lang w:eastAsia="en-AU"/>
        </w:rPr>
      </w:pPr>
      <w:hyperlink w:anchor="_Toc476658115" w:history="1">
        <w:r w:rsidR="00D92463" w:rsidRPr="006072D5">
          <w:rPr>
            <w:rStyle w:val="Hyperlink"/>
          </w:rPr>
          <w:t>1.8.3</w:t>
        </w:r>
        <w:r w:rsidR="00D92463">
          <w:rPr>
            <w:spacing w:val="0"/>
            <w:sz w:val="22"/>
            <w:szCs w:val="22"/>
            <w:lang w:eastAsia="en-AU"/>
          </w:rPr>
          <w:tab/>
        </w:r>
        <w:r w:rsidR="00D92463" w:rsidRPr="006072D5">
          <w:rPr>
            <w:rStyle w:val="Hyperlink"/>
          </w:rPr>
          <w:t>Reporting on section 33 FMA expenditure</w:t>
        </w:r>
        <w:r w:rsidR="00D92463">
          <w:rPr>
            <w:webHidden/>
          </w:rPr>
          <w:tab/>
        </w:r>
        <w:r w:rsidR="00D92463">
          <w:rPr>
            <w:webHidden/>
          </w:rPr>
          <w:fldChar w:fldCharType="begin"/>
        </w:r>
        <w:r w:rsidR="00D92463">
          <w:rPr>
            <w:webHidden/>
          </w:rPr>
          <w:instrText xml:space="preserve"> PAGEREF _Toc476658115 \h </w:instrText>
        </w:r>
        <w:r w:rsidR="00D92463">
          <w:rPr>
            <w:webHidden/>
          </w:rPr>
        </w:r>
        <w:r w:rsidR="00D92463">
          <w:rPr>
            <w:webHidden/>
          </w:rPr>
          <w:fldChar w:fldCharType="separate"/>
        </w:r>
        <w:r w:rsidR="002536F9">
          <w:rPr>
            <w:webHidden/>
          </w:rPr>
          <w:t>42</w:t>
        </w:r>
        <w:r w:rsidR="00D92463">
          <w:rPr>
            <w:webHidden/>
          </w:rPr>
          <w:fldChar w:fldCharType="end"/>
        </w:r>
      </w:hyperlink>
    </w:p>
    <w:p w14:paraId="2AA67E48" w14:textId="77777777" w:rsidR="00D92463" w:rsidRDefault="000A3679">
      <w:pPr>
        <w:pStyle w:val="TOC5"/>
        <w:tabs>
          <w:tab w:val="left" w:pos="1080"/>
        </w:tabs>
        <w:rPr>
          <w:spacing w:val="0"/>
          <w:sz w:val="22"/>
          <w:szCs w:val="22"/>
          <w:lang w:eastAsia="en-AU"/>
        </w:rPr>
      </w:pPr>
      <w:hyperlink w:anchor="_Toc476658116" w:history="1">
        <w:r w:rsidR="00D92463" w:rsidRPr="006072D5">
          <w:rPr>
            <w:rStyle w:val="Hyperlink"/>
          </w:rPr>
          <w:t>1.9</w:t>
        </w:r>
        <w:r w:rsidR="00D92463">
          <w:rPr>
            <w:spacing w:val="0"/>
            <w:sz w:val="22"/>
            <w:szCs w:val="22"/>
            <w:lang w:eastAsia="en-AU"/>
          </w:rPr>
          <w:tab/>
        </w:r>
        <w:r w:rsidR="00D92463" w:rsidRPr="006072D5">
          <w:rPr>
            <w:rStyle w:val="Hyperlink"/>
          </w:rPr>
          <w:t>Public Account Advances – section 37 of the FMA</w:t>
        </w:r>
        <w:r w:rsidR="00D92463">
          <w:rPr>
            <w:webHidden/>
          </w:rPr>
          <w:tab/>
        </w:r>
        <w:r w:rsidR="00D92463">
          <w:rPr>
            <w:webHidden/>
          </w:rPr>
          <w:fldChar w:fldCharType="begin"/>
        </w:r>
        <w:r w:rsidR="00D92463">
          <w:rPr>
            <w:webHidden/>
          </w:rPr>
          <w:instrText xml:space="preserve"> PAGEREF _Toc476658116 \h </w:instrText>
        </w:r>
        <w:r w:rsidR="00D92463">
          <w:rPr>
            <w:webHidden/>
          </w:rPr>
        </w:r>
        <w:r w:rsidR="00D92463">
          <w:rPr>
            <w:webHidden/>
          </w:rPr>
          <w:fldChar w:fldCharType="separate"/>
        </w:r>
        <w:r w:rsidR="002536F9">
          <w:rPr>
            <w:webHidden/>
          </w:rPr>
          <w:t>43</w:t>
        </w:r>
        <w:r w:rsidR="00D92463">
          <w:rPr>
            <w:webHidden/>
          </w:rPr>
          <w:fldChar w:fldCharType="end"/>
        </w:r>
      </w:hyperlink>
    </w:p>
    <w:p w14:paraId="50475C35" w14:textId="77777777" w:rsidR="00D92463" w:rsidRDefault="000A3679">
      <w:pPr>
        <w:pStyle w:val="TOC6"/>
        <w:tabs>
          <w:tab w:val="left" w:pos="1800"/>
        </w:tabs>
        <w:rPr>
          <w:spacing w:val="0"/>
          <w:sz w:val="22"/>
          <w:szCs w:val="22"/>
          <w:lang w:eastAsia="en-AU"/>
        </w:rPr>
      </w:pPr>
      <w:hyperlink w:anchor="_Toc476658117" w:history="1">
        <w:r w:rsidR="00D92463" w:rsidRPr="006072D5">
          <w:rPr>
            <w:rStyle w:val="Hyperlink"/>
          </w:rPr>
          <w:t>1.9.1</w:t>
        </w:r>
        <w:r w:rsidR="00D92463">
          <w:rPr>
            <w:spacing w:val="0"/>
            <w:sz w:val="22"/>
            <w:szCs w:val="22"/>
            <w:lang w:eastAsia="en-AU"/>
          </w:rPr>
          <w:tab/>
        </w:r>
        <w:r w:rsidR="00D92463" w:rsidRPr="006072D5">
          <w:rPr>
            <w:rStyle w:val="Hyperlink"/>
          </w:rPr>
          <w:t>Process and requirements for section 37 Public Account Advance requests</w:t>
        </w:r>
        <w:r w:rsidR="00D92463">
          <w:rPr>
            <w:webHidden/>
          </w:rPr>
          <w:tab/>
        </w:r>
        <w:r w:rsidR="00D92463">
          <w:rPr>
            <w:webHidden/>
          </w:rPr>
          <w:fldChar w:fldCharType="begin"/>
        </w:r>
        <w:r w:rsidR="00D92463">
          <w:rPr>
            <w:webHidden/>
          </w:rPr>
          <w:instrText xml:space="preserve"> PAGEREF _Toc476658117 \h </w:instrText>
        </w:r>
        <w:r w:rsidR="00D92463">
          <w:rPr>
            <w:webHidden/>
          </w:rPr>
        </w:r>
        <w:r w:rsidR="00D92463">
          <w:rPr>
            <w:webHidden/>
          </w:rPr>
          <w:fldChar w:fldCharType="separate"/>
        </w:r>
        <w:r w:rsidR="002536F9">
          <w:rPr>
            <w:webHidden/>
          </w:rPr>
          <w:t>43</w:t>
        </w:r>
        <w:r w:rsidR="00D92463">
          <w:rPr>
            <w:webHidden/>
          </w:rPr>
          <w:fldChar w:fldCharType="end"/>
        </w:r>
      </w:hyperlink>
    </w:p>
    <w:p w14:paraId="5CA9451A" w14:textId="77777777" w:rsidR="00D92463" w:rsidRDefault="000A3679">
      <w:pPr>
        <w:pStyle w:val="TOC6"/>
        <w:tabs>
          <w:tab w:val="left" w:pos="1800"/>
        </w:tabs>
        <w:rPr>
          <w:spacing w:val="0"/>
          <w:sz w:val="22"/>
          <w:szCs w:val="22"/>
          <w:lang w:eastAsia="en-AU"/>
        </w:rPr>
      </w:pPr>
      <w:hyperlink w:anchor="_Toc476658118" w:history="1">
        <w:r w:rsidR="00D92463" w:rsidRPr="006072D5">
          <w:rPr>
            <w:rStyle w:val="Hyperlink"/>
          </w:rPr>
          <w:t>1.9.2</w:t>
        </w:r>
        <w:r w:rsidR="00D92463">
          <w:rPr>
            <w:spacing w:val="0"/>
            <w:sz w:val="22"/>
            <w:szCs w:val="22"/>
            <w:lang w:eastAsia="en-AU"/>
          </w:rPr>
          <w:tab/>
        </w:r>
        <w:r w:rsidR="00D92463" w:rsidRPr="006072D5">
          <w:rPr>
            <w:rStyle w:val="Hyperlink"/>
          </w:rPr>
          <w:t>Reporting on section 37 Public Account Advance requests</w:t>
        </w:r>
        <w:r w:rsidR="00D92463">
          <w:rPr>
            <w:webHidden/>
          </w:rPr>
          <w:tab/>
        </w:r>
        <w:r w:rsidR="00D92463">
          <w:rPr>
            <w:webHidden/>
          </w:rPr>
          <w:fldChar w:fldCharType="begin"/>
        </w:r>
        <w:r w:rsidR="00D92463">
          <w:rPr>
            <w:webHidden/>
          </w:rPr>
          <w:instrText xml:space="preserve"> PAGEREF _Toc476658118 \h </w:instrText>
        </w:r>
        <w:r w:rsidR="00D92463">
          <w:rPr>
            <w:webHidden/>
          </w:rPr>
        </w:r>
        <w:r w:rsidR="00D92463">
          <w:rPr>
            <w:webHidden/>
          </w:rPr>
          <w:fldChar w:fldCharType="separate"/>
        </w:r>
        <w:r w:rsidR="002536F9">
          <w:rPr>
            <w:webHidden/>
          </w:rPr>
          <w:t>43</w:t>
        </w:r>
        <w:r w:rsidR="00D92463">
          <w:rPr>
            <w:webHidden/>
          </w:rPr>
          <w:fldChar w:fldCharType="end"/>
        </w:r>
      </w:hyperlink>
    </w:p>
    <w:p w14:paraId="64CCED34" w14:textId="77777777" w:rsidR="00D92463" w:rsidRDefault="000A3679">
      <w:pPr>
        <w:pStyle w:val="TOC4"/>
        <w:rPr>
          <w:spacing w:val="0"/>
          <w:sz w:val="22"/>
          <w:szCs w:val="22"/>
          <w:lang w:eastAsia="en-AU"/>
        </w:rPr>
      </w:pPr>
      <w:hyperlink w:anchor="_Toc476658119" w:history="1">
        <w:r w:rsidR="00D92463" w:rsidRPr="006072D5">
          <w:rPr>
            <w:rStyle w:val="Hyperlink"/>
          </w:rPr>
          <w:t>2.</w:t>
        </w:r>
        <w:r w:rsidR="00D92463">
          <w:rPr>
            <w:spacing w:val="0"/>
            <w:sz w:val="22"/>
            <w:szCs w:val="22"/>
            <w:lang w:eastAsia="en-AU"/>
          </w:rPr>
          <w:tab/>
        </w:r>
        <w:r w:rsidR="00D92463" w:rsidRPr="006072D5">
          <w:rPr>
            <w:rStyle w:val="Hyperlink"/>
          </w:rPr>
          <w:t>Accrual budgeting concepts</w:t>
        </w:r>
        <w:r w:rsidR="00D92463">
          <w:rPr>
            <w:webHidden/>
          </w:rPr>
          <w:tab/>
        </w:r>
        <w:r w:rsidR="00D92463">
          <w:rPr>
            <w:webHidden/>
          </w:rPr>
          <w:fldChar w:fldCharType="begin"/>
        </w:r>
        <w:r w:rsidR="00D92463">
          <w:rPr>
            <w:webHidden/>
          </w:rPr>
          <w:instrText xml:space="preserve"> PAGEREF _Toc476658119 \h </w:instrText>
        </w:r>
        <w:r w:rsidR="00D92463">
          <w:rPr>
            <w:webHidden/>
          </w:rPr>
        </w:r>
        <w:r w:rsidR="00D92463">
          <w:rPr>
            <w:webHidden/>
          </w:rPr>
          <w:fldChar w:fldCharType="separate"/>
        </w:r>
        <w:r w:rsidR="002536F9">
          <w:rPr>
            <w:webHidden/>
          </w:rPr>
          <w:t>44</w:t>
        </w:r>
        <w:r w:rsidR="00D92463">
          <w:rPr>
            <w:webHidden/>
          </w:rPr>
          <w:fldChar w:fldCharType="end"/>
        </w:r>
      </w:hyperlink>
    </w:p>
    <w:p w14:paraId="24B4E046" w14:textId="77777777" w:rsidR="00D92463" w:rsidRDefault="000A3679">
      <w:pPr>
        <w:pStyle w:val="TOC5"/>
        <w:tabs>
          <w:tab w:val="left" w:pos="1080"/>
        </w:tabs>
        <w:rPr>
          <w:spacing w:val="0"/>
          <w:sz w:val="22"/>
          <w:szCs w:val="22"/>
          <w:lang w:eastAsia="en-AU"/>
        </w:rPr>
      </w:pPr>
      <w:hyperlink w:anchor="_Toc476658120" w:history="1">
        <w:r w:rsidR="00D92463" w:rsidRPr="006072D5">
          <w:rPr>
            <w:rStyle w:val="Hyperlink"/>
          </w:rPr>
          <w:t>2.1</w:t>
        </w:r>
        <w:r w:rsidR="00D92463">
          <w:rPr>
            <w:spacing w:val="0"/>
            <w:sz w:val="22"/>
            <w:szCs w:val="22"/>
            <w:lang w:eastAsia="en-AU"/>
          </w:rPr>
          <w:tab/>
        </w:r>
        <w:r w:rsidR="00D92463" w:rsidRPr="006072D5">
          <w:rPr>
            <w:rStyle w:val="Hyperlink"/>
          </w:rPr>
          <w:t>Departmental surpluses</w:t>
        </w:r>
        <w:r w:rsidR="00D92463">
          <w:rPr>
            <w:webHidden/>
          </w:rPr>
          <w:tab/>
        </w:r>
        <w:r w:rsidR="00D92463">
          <w:rPr>
            <w:webHidden/>
          </w:rPr>
          <w:fldChar w:fldCharType="begin"/>
        </w:r>
        <w:r w:rsidR="00D92463">
          <w:rPr>
            <w:webHidden/>
          </w:rPr>
          <w:instrText xml:space="preserve"> PAGEREF _Toc476658120 \h </w:instrText>
        </w:r>
        <w:r w:rsidR="00D92463">
          <w:rPr>
            <w:webHidden/>
          </w:rPr>
        </w:r>
        <w:r w:rsidR="00D92463">
          <w:rPr>
            <w:webHidden/>
          </w:rPr>
          <w:fldChar w:fldCharType="separate"/>
        </w:r>
        <w:r w:rsidR="002536F9">
          <w:rPr>
            <w:webHidden/>
          </w:rPr>
          <w:t>44</w:t>
        </w:r>
        <w:r w:rsidR="00D92463">
          <w:rPr>
            <w:webHidden/>
          </w:rPr>
          <w:fldChar w:fldCharType="end"/>
        </w:r>
      </w:hyperlink>
    </w:p>
    <w:p w14:paraId="4A0CA4FC" w14:textId="77777777" w:rsidR="00D92463" w:rsidRDefault="000A3679">
      <w:pPr>
        <w:pStyle w:val="TOC6"/>
        <w:tabs>
          <w:tab w:val="left" w:pos="1800"/>
        </w:tabs>
        <w:rPr>
          <w:spacing w:val="0"/>
          <w:sz w:val="22"/>
          <w:szCs w:val="22"/>
          <w:lang w:eastAsia="en-AU"/>
        </w:rPr>
      </w:pPr>
      <w:hyperlink w:anchor="_Toc476658121" w:history="1">
        <w:r w:rsidR="00D92463" w:rsidRPr="006072D5">
          <w:rPr>
            <w:rStyle w:val="Hyperlink"/>
          </w:rPr>
          <w:t>2.1.1</w:t>
        </w:r>
        <w:r w:rsidR="00D92463">
          <w:rPr>
            <w:spacing w:val="0"/>
            <w:sz w:val="22"/>
            <w:szCs w:val="22"/>
            <w:lang w:eastAsia="en-AU"/>
          </w:rPr>
          <w:tab/>
        </w:r>
        <w:r w:rsidR="00D92463" w:rsidRPr="006072D5">
          <w:rPr>
            <w:rStyle w:val="Hyperlink"/>
          </w:rPr>
          <w:t>Application of Departmental surpluses</w:t>
        </w:r>
        <w:r w:rsidR="00D92463">
          <w:rPr>
            <w:webHidden/>
          </w:rPr>
          <w:tab/>
        </w:r>
        <w:r w:rsidR="00D92463">
          <w:rPr>
            <w:webHidden/>
          </w:rPr>
          <w:fldChar w:fldCharType="begin"/>
        </w:r>
        <w:r w:rsidR="00D92463">
          <w:rPr>
            <w:webHidden/>
          </w:rPr>
          <w:instrText xml:space="preserve"> PAGEREF _Toc476658121 \h </w:instrText>
        </w:r>
        <w:r w:rsidR="00D92463">
          <w:rPr>
            <w:webHidden/>
          </w:rPr>
        </w:r>
        <w:r w:rsidR="00D92463">
          <w:rPr>
            <w:webHidden/>
          </w:rPr>
          <w:fldChar w:fldCharType="separate"/>
        </w:r>
        <w:r w:rsidR="002536F9">
          <w:rPr>
            <w:webHidden/>
          </w:rPr>
          <w:t>44</w:t>
        </w:r>
        <w:r w:rsidR="00D92463">
          <w:rPr>
            <w:webHidden/>
          </w:rPr>
          <w:fldChar w:fldCharType="end"/>
        </w:r>
      </w:hyperlink>
    </w:p>
    <w:p w14:paraId="6222434B" w14:textId="77777777" w:rsidR="00D92463" w:rsidRDefault="000A3679">
      <w:pPr>
        <w:pStyle w:val="TOC5"/>
        <w:tabs>
          <w:tab w:val="left" w:pos="1080"/>
        </w:tabs>
        <w:rPr>
          <w:spacing w:val="0"/>
          <w:sz w:val="22"/>
          <w:szCs w:val="22"/>
          <w:lang w:eastAsia="en-AU"/>
        </w:rPr>
      </w:pPr>
      <w:hyperlink w:anchor="_Toc476658122" w:history="1">
        <w:r w:rsidR="00D92463" w:rsidRPr="006072D5">
          <w:rPr>
            <w:rStyle w:val="Hyperlink"/>
          </w:rPr>
          <w:t>2.2</w:t>
        </w:r>
        <w:r w:rsidR="00D92463">
          <w:rPr>
            <w:spacing w:val="0"/>
            <w:sz w:val="22"/>
            <w:szCs w:val="22"/>
            <w:lang w:eastAsia="en-AU"/>
          </w:rPr>
          <w:tab/>
        </w:r>
        <w:r w:rsidR="00D92463" w:rsidRPr="006072D5">
          <w:rPr>
            <w:rStyle w:val="Hyperlink"/>
          </w:rPr>
          <w:t>Depreciation and depreciation equivalent</w:t>
        </w:r>
        <w:r w:rsidR="00D92463">
          <w:rPr>
            <w:webHidden/>
          </w:rPr>
          <w:tab/>
        </w:r>
        <w:r w:rsidR="00D92463">
          <w:rPr>
            <w:webHidden/>
          </w:rPr>
          <w:fldChar w:fldCharType="begin"/>
        </w:r>
        <w:r w:rsidR="00D92463">
          <w:rPr>
            <w:webHidden/>
          </w:rPr>
          <w:instrText xml:space="preserve"> PAGEREF _Toc476658122 \h </w:instrText>
        </w:r>
        <w:r w:rsidR="00D92463">
          <w:rPr>
            <w:webHidden/>
          </w:rPr>
        </w:r>
        <w:r w:rsidR="00D92463">
          <w:rPr>
            <w:webHidden/>
          </w:rPr>
          <w:fldChar w:fldCharType="separate"/>
        </w:r>
        <w:r w:rsidR="002536F9">
          <w:rPr>
            <w:webHidden/>
          </w:rPr>
          <w:t>45</w:t>
        </w:r>
        <w:r w:rsidR="00D92463">
          <w:rPr>
            <w:webHidden/>
          </w:rPr>
          <w:fldChar w:fldCharType="end"/>
        </w:r>
      </w:hyperlink>
    </w:p>
    <w:p w14:paraId="577C75BA" w14:textId="77777777" w:rsidR="00D92463" w:rsidRDefault="000A3679">
      <w:pPr>
        <w:pStyle w:val="TOC6"/>
        <w:tabs>
          <w:tab w:val="left" w:pos="1800"/>
        </w:tabs>
        <w:rPr>
          <w:spacing w:val="0"/>
          <w:sz w:val="22"/>
          <w:szCs w:val="22"/>
          <w:lang w:eastAsia="en-AU"/>
        </w:rPr>
      </w:pPr>
      <w:hyperlink w:anchor="_Toc476658123" w:history="1">
        <w:r w:rsidR="00D92463" w:rsidRPr="006072D5">
          <w:rPr>
            <w:rStyle w:val="Hyperlink"/>
          </w:rPr>
          <w:t>2.2.1</w:t>
        </w:r>
        <w:r w:rsidR="00D92463">
          <w:rPr>
            <w:spacing w:val="0"/>
            <w:sz w:val="22"/>
            <w:szCs w:val="22"/>
            <w:lang w:eastAsia="en-AU"/>
          </w:rPr>
          <w:tab/>
        </w:r>
        <w:r w:rsidR="00D92463" w:rsidRPr="006072D5">
          <w:rPr>
            <w:rStyle w:val="Hyperlink"/>
          </w:rPr>
          <w:t>Depreciation equivalent for asset revaluations</w:t>
        </w:r>
        <w:r w:rsidR="00D92463">
          <w:rPr>
            <w:webHidden/>
          </w:rPr>
          <w:tab/>
        </w:r>
        <w:r w:rsidR="00D92463">
          <w:rPr>
            <w:webHidden/>
          </w:rPr>
          <w:fldChar w:fldCharType="begin"/>
        </w:r>
        <w:r w:rsidR="00D92463">
          <w:rPr>
            <w:webHidden/>
          </w:rPr>
          <w:instrText xml:space="preserve"> PAGEREF _Toc476658123 \h </w:instrText>
        </w:r>
        <w:r w:rsidR="00D92463">
          <w:rPr>
            <w:webHidden/>
          </w:rPr>
        </w:r>
        <w:r w:rsidR="00D92463">
          <w:rPr>
            <w:webHidden/>
          </w:rPr>
          <w:fldChar w:fldCharType="separate"/>
        </w:r>
        <w:r w:rsidR="002536F9">
          <w:rPr>
            <w:webHidden/>
          </w:rPr>
          <w:t>45</w:t>
        </w:r>
        <w:r w:rsidR="00D92463">
          <w:rPr>
            <w:webHidden/>
          </w:rPr>
          <w:fldChar w:fldCharType="end"/>
        </w:r>
      </w:hyperlink>
    </w:p>
    <w:p w14:paraId="5CBD4679" w14:textId="77777777" w:rsidR="00D92463" w:rsidRDefault="000A3679">
      <w:pPr>
        <w:pStyle w:val="TOC6"/>
        <w:tabs>
          <w:tab w:val="left" w:pos="1800"/>
        </w:tabs>
        <w:rPr>
          <w:spacing w:val="0"/>
          <w:sz w:val="22"/>
          <w:szCs w:val="22"/>
          <w:lang w:eastAsia="en-AU"/>
        </w:rPr>
      </w:pPr>
      <w:hyperlink w:anchor="_Toc476658124" w:history="1">
        <w:r w:rsidR="00D92463" w:rsidRPr="006072D5">
          <w:rPr>
            <w:rStyle w:val="Hyperlink"/>
          </w:rPr>
          <w:t>2.2.2</w:t>
        </w:r>
        <w:r w:rsidR="00D92463">
          <w:rPr>
            <w:spacing w:val="0"/>
            <w:sz w:val="22"/>
            <w:szCs w:val="22"/>
            <w:lang w:eastAsia="en-AU"/>
          </w:rPr>
          <w:tab/>
        </w:r>
        <w:r w:rsidR="00D92463" w:rsidRPr="006072D5">
          <w:rPr>
            <w:rStyle w:val="Hyperlink"/>
          </w:rPr>
          <w:t>Depreciation equivalent for portfolio agencies</w:t>
        </w:r>
        <w:r w:rsidR="00D92463">
          <w:rPr>
            <w:webHidden/>
          </w:rPr>
          <w:tab/>
        </w:r>
        <w:r w:rsidR="00D92463">
          <w:rPr>
            <w:webHidden/>
          </w:rPr>
          <w:fldChar w:fldCharType="begin"/>
        </w:r>
        <w:r w:rsidR="00D92463">
          <w:rPr>
            <w:webHidden/>
          </w:rPr>
          <w:instrText xml:space="preserve"> PAGEREF _Toc476658124 \h </w:instrText>
        </w:r>
        <w:r w:rsidR="00D92463">
          <w:rPr>
            <w:webHidden/>
          </w:rPr>
        </w:r>
        <w:r w:rsidR="00D92463">
          <w:rPr>
            <w:webHidden/>
          </w:rPr>
          <w:fldChar w:fldCharType="separate"/>
        </w:r>
        <w:r w:rsidR="002536F9">
          <w:rPr>
            <w:webHidden/>
          </w:rPr>
          <w:t>45</w:t>
        </w:r>
        <w:r w:rsidR="00D92463">
          <w:rPr>
            <w:webHidden/>
          </w:rPr>
          <w:fldChar w:fldCharType="end"/>
        </w:r>
      </w:hyperlink>
    </w:p>
    <w:p w14:paraId="64456AFE" w14:textId="77777777" w:rsidR="00D92463" w:rsidRDefault="000A3679">
      <w:pPr>
        <w:pStyle w:val="TOC6"/>
        <w:tabs>
          <w:tab w:val="left" w:pos="1800"/>
        </w:tabs>
        <w:rPr>
          <w:spacing w:val="0"/>
          <w:sz w:val="22"/>
          <w:szCs w:val="22"/>
          <w:lang w:eastAsia="en-AU"/>
        </w:rPr>
      </w:pPr>
      <w:hyperlink w:anchor="_Toc476658125" w:history="1">
        <w:r w:rsidR="00D92463" w:rsidRPr="006072D5">
          <w:rPr>
            <w:rStyle w:val="Hyperlink"/>
          </w:rPr>
          <w:t>2.2.3</w:t>
        </w:r>
        <w:r w:rsidR="00D92463">
          <w:rPr>
            <w:spacing w:val="0"/>
            <w:sz w:val="22"/>
            <w:szCs w:val="22"/>
            <w:lang w:eastAsia="en-AU"/>
          </w:rPr>
          <w:tab/>
        </w:r>
        <w:r w:rsidR="00D92463" w:rsidRPr="006072D5">
          <w:rPr>
            <w:rStyle w:val="Hyperlink"/>
          </w:rPr>
          <w:t>Depreciation on administered assets</w:t>
        </w:r>
        <w:r w:rsidR="00D92463">
          <w:rPr>
            <w:webHidden/>
          </w:rPr>
          <w:tab/>
        </w:r>
        <w:r w:rsidR="00D92463">
          <w:rPr>
            <w:webHidden/>
          </w:rPr>
          <w:fldChar w:fldCharType="begin"/>
        </w:r>
        <w:r w:rsidR="00D92463">
          <w:rPr>
            <w:webHidden/>
          </w:rPr>
          <w:instrText xml:space="preserve"> PAGEREF _Toc476658125 \h </w:instrText>
        </w:r>
        <w:r w:rsidR="00D92463">
          <w:rPr>
            <w:webHidden/>
          </w:rPr>
        </w:r>
        <w:r w:rsidR="00D92463">
          <w:rPr>
            <w:webHidden/>
          </w:rPr>
          <w:fldChar w:fldCharType="separate"/>
        </w:r>
        <w:r w:rsidR="002536F9">
          <w:rPr>
            <w:webHidden/>
          </w:rPr>
          <w:t>45</w:t>
        </w:r>
        <w:r w:rsidR="00D92463">
          <w:rPr>
            <w:webHidden/>
          </w:rPr>
          <w:fldChar w:fldCharType="end"/>
        </w:r>
      </w:hyperlink>
    </w:p>
    <w:p w14:paraId="562686B6" w14:textId="77777777" w:rsidR="00D92463" w:rsidRDefault="000A3679">
      <w:pPr>
        <w:pStyle w:val="TOC5"/>
        <w:tabs>
          <w:tab w:val="left" w:pos="1080"/>
        </w:tabs>
        <w:rPr>
          <w:spacing w:val="0"/>
          <w:sz w:val="22"/>
          <w:szCs w:val="22"/>
          <w:lang w:eastAsia="en-AU"/>
        </w:rPr>
      </w:pPr>
      <w:hyperlink w:anchor="_Toc476658126" w:history="1">
        <w:r w:rsidR="00D92463" w:rsidRPr="006072D5">
          <w:rPr>
            <w:rStyle w:val="Hyperlink"/>
          </w:rPr>
          <w:t>2.3</w:t>
        </w:r>
        <w:r w:rsidR="00D92463">
          <w:rPr>
            <w:spacing w:val="0"/>
            <w:sz w:val="22"/>
            <w:szCs w:val="22"/>
            <w:lang w:eastAsia="en-AU"/>
          </w:rPr>
          <w:tab/>
        </w:r>
        <w:r w:rsidR="00D92463" w:rsidRPr="006072D5">
          <w:rPr>
            <w:rStyle w:val="Hyperlink"/>
          </w:rPr>
          <w:t>Long service leave and long service leave equivalent</w:t>
        </w:r>
        <w:r w:rsidR="00D92463">
          <w:rPr>
            <w:webHidden/>
          </w:rPr>
          <w:tab/>
        </w:r>
        <w:r w:rsidR="00D92463">
          <w:rPr>
            <w:webHidden/>
          </w:rPr>
          <w:fldChar w:fldCharType="begin"/>
        </w:r>
        <w:r w:rsidR="00D92463">
          <w:rPr>
            <w:webHidden/>
          </w:rPr>
          <w:instrText xml:space="preserve"> PAGEREF _Toc476658126 \h </w:instrText>
        </w:r>
        <w:r w:rsidR="00D92463">
          <w:rPr>
            <w:webHidden/>
          </w:rPr>
        </w:r>
        <w:r w:rsidR="00D92463">
          <w:rPr>
            <w:webHidden/>
          </w:rPr>
          <w:fldChar w:fldCharType="separate"/>
        </w:r>
        <w:r w:rsidR="002536F9">
          <w:rPr>
            <w:webHidden/>
          </w:rPr>
          <w:t>48</w:t>
        </w:r>
        <w:r w:rsidR="00D92463">
          <w:rPr>
            <w:webHidden/>
          </w:rPr>
          <w:fldChar w:fldCharType="end"/>
        </w:r>
      </w:hyperlink>
    </w:p>
    <w:p w14:paraId="1F0AD84C" w14:textId="77777777" w:rsidR="00D92463" w:rsidRDefault="000A3679">
      <w:pPr>
        <w:pStyle w:val="TOC6"/>
        <w:tabs>
          <w:tab w:val="left" w:pos="1800"/>
        </w:tabs>
        <w:rPr>
          <w:spacing w:val="0"/>
          <w:sz w:val="22"/>
          <w:szCs w:val="22"/>
          <w:lang w:eastAsia="en-AU"/>
        </w:rPr>
      </w:pPr>
      <w:hyperlink w:anchor="_Toc476658127" w:history="1">
        <w:r w:rsidR="00D92463" w:rsidRPr="006072D5">
          <w:rPr>
            <w:rStyle w:val="Hyperlink"/>
          </w:rPr>
          <w:t>2.3.1</w:t>
        </w:r>
        <w:r w:rsidR="00D92463">
          <w:rPr>
            <w:spacing w:val="0"/>
            <w:sz w:val="22"/>
            <w:szCs w:val="22"/>
            <w:lang w:eastAsia="en-AU"/>
          </w:rPr>
          <w:tab/>
        </w:r>
        <w:r w:rsidR="00D92463" w:rsidRPr="006072D5">
          <w:rPr>
            <w:rStyle w:val="Hyperlink"/>
          </w:rPr>
          <w:t>Valuation of balances of accumulated long service leave</w:t>
        </w:r>
        <w:r w:rsidR="00D92463">
          <w:rPr>
            <w:webHidden/>
          </w:rPr>
          <w:tab/>
        </w:r>
        <w:r w:rsidR="00D92463">
          <w:rPr>
            <w:webHidden/>
          </w:rPr>
          <w:fldChar w:fldCharType="begin"/>
        </w:r>
        <w:r w:rsidR="00D92463">
          <w:rPr>
            <w:webHidden/>
          </w:rPr>
          <w:instrText xml:space="preserve"> PAGEREF _Toc476658127 \h </w:instrText>
        </w:r>
        <w:r w:rsidR="00D92463">
          <w:rPr>
            <w:webHidden/>
          </w:rPr>
        </w:r>
        <w:r w:rsidR="00D92463">
          <w:rPr>
            <w:webHidden/>
          </w:rPr>
          <w:fldChar w:fldCharType="separate"/>
        </w:r>
        <w:r w:rsidR="002536F9">
          <w:rPr>
            <w:webHidden/>
          </w:rPr>
          <w:t>48</w:t>
        </w:r>
        <w:r w:rsidR="00D92463">
          <w:rPr>
            <w:webHidden/>
          </w:rPr>
          <w:fldChar w:fldCharType="end"/>
        </w:r>
      </w:hyperlink>
    </w:p>
    <w:p w14:paraId="7E18AFD3" w14:textId="77777777" w:rsidR="00D92463" w:rsidRDefault="000A3679">
      <w:pPr>
        <w:pStyle w:val="TOC6"/>
        <w:tabs>
          <w:tab w:val="left" w:pos="1800"/>
        </w:tabs>
        <w:rPr>
          <w:spacing w:val="0"/>
          <w:sz w:val="22"/>
          <w:szCs w:val="22"/>
          <w:lang w:eastAsia="en-AU"/>
        </w:rPr>
      </w:pPr>
      <w:hyperlink w:anchor="_Toc476658128" w:history="1">
        <w:r w:rsidR="00D92463" w:rsidRPr="006072D5">
          <w:rPr>
            <w:rStyle w:val="Hyperlink"/>
          </w:rPr>
          <w:t>2.3.2</w:t>
        </w:r>
        <w:r w:rsidR="00D92463">
          <w:rPr>
            <w:spacing w:val="0"/>
            <w:sz w:val="22"/>
            <w:szCs w:val="22"/>
            <w:lang w:eastAsia="en-AU"/>
          </w:rPr>
          <w:tab/>
        </w:r>
        <w:r w:rsidR="00D92463" w:rsidRPr="006072D5">
          <w:rPr>
            <w:rStyle w:val="Hyperlink"/>
          </w:rPr>
          <w:t>Inclusion of estimated annual long service leave expense in output costs</w:t>
        </w:r>
        <w:r w:rsidR="00D92463">
          <w:rPr>
            <w:webHidden/>
          </w:rPr>
          <w:tab/>
        </w:r>
        <w:r w:rsidR="00D92463">
          <w:rPr>
            <w:webHidden/>
          </w:rPr>
          <w:fldChar w:fldCharType="begin"/>
        </w:r>
        <w:r w:rsidR="00D92463">
          <w:rPr>
            <w:webHidden/>
          </w:rPr>
          <w:instrText xml:space="preserve"> PAGEREF _Toc476658128 \h </w:instrText>
        </w:r>
        <w:r w:rsidR="00D92463">
          <w:rPr>
            <w:webHidden/>
          </w:rPr>
        </w:r>
        <w:r w:rsidR="00D92463">
          <w:rPr>
            <w:webHidden/>
          </w:rPr>
          <w:fldChar w:fldCharType="separate"/>
        </w:r>
        <w:r w:rsidR="002536F9">
          <w:rPr>
            <w:webHidden/>
          </w:rPr>
          <w:t>48</w:t>
        </w:r>
        <w:r w:rsidR="00D92463">
          <w:rPr>
            <w:webHidden/>
          </w:rPr>
          <w:fldChar w:fldCharType="end"/>
        </w:r>
      </w:hyperlink>
    </w:p>
    <w:p w14:paraId="141E3827" w14:textId="77777777" w:rsidR="00D92463" w:rsidRDefault="000A3679">
      <w:pPr>
        <w:pStyle w:val="TOC6"/>
        <w:tabs>
          <w:tab w:val="left" w:pos="1800"/>
        </w:tabs>
        <w:rPr>
          <w:spacing w:val="0"/>
          <w:sz w:val="22"/>
          <w:szCs w:val="22"/>
          <w:lang w:eastAsia="en-AU"/>
        </w:rPr>
      </w:pPr>
      <w:hyperlink w:anchor="_Toc476658129" w:history="1">
        <w:r w:rsidR="00D92463" w:rsidRPr="006072D5">
          <w:rPr>
            <w:rStyle w:val="Hyperlink"/>
          </w:rPr>
          <w:t>2.3.3</w:t>
        </w:r>
        <w:r w:rsidR="00D92463">
          <w:rPr>
            <w:spacing w:val="0"/>
            <w:sz w:val="22"/>
            <w:szCs w:val="22"/>
            <w:lang w:eastAsia="en-AU"/>
          </w:rPr>
          <w:tab/>
        </w:r>
        <w:r w:rsidR="00D92463" w:rsidRPr="006072D5">
          <w:rPr>
            <w:rStyle w:val="Hyperlink"/>
          </w:rPr>
          <w:t>Long service leave equivalent (LSL equivalent)</w:t>
        </w:r>
        <w:r w:rsidR="00D92463">
          <w:rPr>
            <w:webHidden/>
          </w:rPr>
          <w:tab/>
        </w:r>
        <w:r w:rsidR="00D92463">
          <w:rPr>
            <w:webHidden/>
          </w:rPr>
          <w:fldChar w:fldCharType="begin"/>
        </w:r>
        <w:r w:rsidR="00D92463">
          <w:rPr>
            <w:webHidden/>
          </w:rPr>
          <w:instrText xml:space="preserve"> PAGEREF _Toc476658129 \h </w:instrText>
        </w:r>
        <w:r w:rsidR="00D92463">
          <w:rPr>
            <w:webHidden/>
          </w:rPr>
        </w:r>
        <w:r w:rsidR="00D92463">
          <w:rPr>
            <w:webHidden/>
          </w:rPr>
          <w:fldChar w:fldCharType="separate"/>
        </w:r>
        <w:r w:rsidR="002536F9">
          <w:rPr>
            <w:webHidden/>
          </w:rPr>
          <w:t>48</w:t>
        </w:r>
        <w:r w:rsidR="00D92463">
          <w:rPr>
            <w:webHidden/>
          </w:rPr>
          <w:fldChar w:fldCharType="end"/>
        </w:r>
      </w:hyperlink>
    </w:p>
    <w:p w14:paraId="665CE571" w14:textId="77777777" w:rsidR="00D92463" w:rsidRDefault="000A3679">
      <w:pPr>
        <w:pStyle w:val="TOC6"/>
        <w:tabs>
          <w:tab w:val="left" w:pos="1800"/>
        </w:tabs>
        <w:rPr>
          <w:spacing w:val="0"/>
          <w:sz w:val="22"/>
          <w:szCs w:val="22"/>
          <w:lang w:eastAsia="en-AU"/>
        </w:rPr>
      </w:pPr>
      <w:hyperlink w:anchor="_Toc476658130" w:history="1">
        <w:r w:rsidR="00D92463" w:rsidRPr="006072D5">
          <w:rPr>
            <w:rStyle w:val="Hyperlink"/>
          </w:rPr>
          <w:t>2.3.4</w:t>
        </w:r>
        <w:r w:rsidR="00D92463">
          <w:rPr>
            <w:spacing w:val="0"/>
            <w:sz w:val="22"/>
            <w:szCs w:val="22"/>
            <w:lang w:eastAsia="en-AU"/>
          </w:rPr>
          <w:tab/>
        </w:r>
        <w:r w:rsidR="00D92463" w:rsidRPr="006072D5">
          <w:rPr>
            <w:rStyle w:val="Hyperlink"/>
          </w:rPr>
          <w:t>Transfer of long service leave balances between Departments</w:t>
        </w:r>
        <w:r w:rsidR="00D92463">
          <w:rPr>
            <w:webHidden/>
          </w:rPr>
          <w:tab/>
        </w:r>
        <w:r w:rsidR="00D92463">
          <w:rPr>
            <w:webHidden/>
          </w:rPr>
          <w:fldChar w:fldCharType="begin"/>
        </w:r>
        <w:r w:rsidR="00D92463">
          <w:rPr>
            <w:webHidden/>
          </w:rPr>
          <w:instrText xml:space="preserve"> PAGEREF _Toc476658130 \h </w:instrText>
        </w:r>
        <w:r w:rsidR="00D92463">
          <w:rPr>
            <w:webHidden/>
          </w:rPr>
        </w:r>
        <w:r w:rsidR="00D92463">
          <w:rPr>
            <w:webHidden/>
          </w:rPr>
          <w:fldChar w:fldCharType="separate"/>
        </w:r>
        <w:r w:rsidR="002536F9">
          <w:rPr>
            <w:webHidden/>
          </w:rPr>
          <w:t>48</w:t>
        </w:r>
        <w:r w:rsidR="00D92463">
          <w:rPr>
            <w:webHidden/>
          </w:rPr>
          <w:fldChar w:fldCharType="end"/>
        </w:r>
      </w:hyperlink>
    </w:p>
    <w:p w14:paraId="14DAFF83" w14:textId="77777777" w:rsidR="00D92463" w:rsidRDefault="000A3679">
      <w:pPr>
        <w:pStyle w:val="TOC6"/>
        <w:tabs>
          <w:tab w:val="left" w:pos="1800"/>
        </w:tabs>
        <w:rPr>
          <w:spacing w:val="0"/>
          <w:sz w:val="22"/>
          <w:szCs w:val="22"/>
          <w:lang w:eastAsia="en-AU"/>
        </w:rPr>
      </w:pPr>
      <w:hyperlink w:anchor="_Toc476658131" w:history="1">
        <w:r w:rsidR="00D92463" w:rsidRPr="006072D5">
          <w:rPr>
            <w:rStyle w:val="Hyperlink"/>
          </w:rPr>
          <w:t>2.3.5</w:t>
        </w:r>
        <w:r w:rsidR="00D92463">
          <w:rPr>
            <w:spacing w:val="0"/>
            <w:sz w:val="22"/>
            <w:szCs w:val="22"/>
            <w:lang w:eastAsia="en-AU"/>
          </w:rPr>
          <w:tab/>
        </w:r>
        <w:r w:rsidR="00D92463" w:rsidRPr="006072D5">
          <w:rPr>
            <w:rStyle w:val="Hyperlink"/>
          </w:rPr>
          <w:t>Funding of long service leave when long service leave equivalent is exhausted</w:t>
        </w:r>
        <w:r w:rsidR="00D92463">
          <w:rPr>
            <w:webHidden/>
          </w:rPr>
          <w:tab/>
        </w:r>
        <w:r w:rsidR="00D92463">
          <w:rPr>
            <w:webHidden/>
          </w:rPr>
          <w:fldChar w:fldCharType="begin"/>
        </w:r>
        <w:r w:rsidR="00D92463">
          <w:rPr>
            <w:webHidden/>
          </w:rPr>
          <w:instrText xml:space="preserve"> PAGEREF _Toc476658131 \h </w:instrText>
        </w:r>
        <w:r w:rsidR="00D92463">
          <w:rPr>
            <w:webHidden/>
          </w:rPr>
        </w:r>
        <w:r w:rsidR="00D92463">
          <w:rPr>
            <w:webHidden/>
          </w:rPr>
          <w:fldChar w:fldCharType="separate"/>
        </w:r>
        <w:r w:rsidR="002536F9">
          <w:rPr>
            <w:webHidden/>
          </w:rPr>
          <w:t>48</w:t>
        </w:r>
        <w:r w:rsidR="00D92463">
          <w:rPr>
            <w:webHidden/>
          </w:rPr>
          <w:fldChar w:fldCharType="end"/>
        </w:r>
      </w:hyperlink>
    </w:p>
    <w:p w14:paraId="308907CD" w14:textId="77777777" w:rsidR="00D92463" w:rsidRDefault="000A3679">
      <w:pPr>
        <w:pStyle w:val="TOC4"/>
        <w:rPr>
          <w:spacing w:val="0"/>
          <w:sz w:val="22"/>
          <w:szCs w:val="22"/>
          <w:lang w:eastAsia="en-AU"/>
        </w:rPr>
      </w:pPr>
      <w:hyperlink w:anchor="_Toc476658132" w:history="1">
        <w:r w:rsidR="00D92463" w:rsidRPr="006072D5">
          <w:rPr>
            <w:rStyle w:val="Hyperlink"/>
          </w:rPr>
          <w:t>3.</w:t>
        </w:r>
        <w:r w:rsidR="00D92463">
          <w:rPr>
            <w:spacing w:val="0"/>
            <w:sz w:val="22"/>
            <w:szCs w:val="22"/>
            <w:lang w:eastAsia="en-AU"/>
          </w:rPr>
          <w:tab/>
        </w:r>
        <w:r w:rsidR="00D92463" w:rsidRPr="006072D5">
          <w:rPr>
            <w:rStyle w:val="Hyperlink"/>
          </w:rPr>
          <w:t>Asset funding and management policies</w:t>
        </w:r>
        <w:r w:rsidR="00D92463">
          <w:rPr>
            <w:webHidden/>
          </w:rPr>
          <w:tab/>
        </w:r>
        <w:r w:rsidR="00D92463">
          <w:rPr>
            <w:webHidden/>
          </w:rPr>
          <w:fldChar w:fldCharType="begin"/>
        </w:r>
        <w:r w:rsidR="00D92463">
          <w:rPr>
            <w:webHidden/>
          </w:rPr>
          <w:instrText xml:space="preserve"> PAGEREF _Toc476658132 \h </w:instrText>
        </w:r>
        <w:r w:rsidR="00D92463">
          <w:rPr>
            <w:webHidden/>
          </w:rPr>
        </w:r>
        <w:r w:rsidR="00D92463">
          <w:rPr>
            <w:webHidden/>
          </w:rPr>
          <w:fldChar w:fldCharType="separate"/>
        </w:r>
        <w:r w:rsidR="002536F9">
          <w:rPr>
            <w:webHidden/>
          </w:rPr>
          <w:t>51</w:t>
        </w:r>
        <w:r w:rsidR="00D92463">
          <w:rPr>
            <w:webHidden/>
          </w:rPr>
          <w:fldChar w:fldCharType="end"/>
        </w:r>
      </w:hyperlink>
    </w:p>
    <w:p w14:paraId="13FD1AB1" w14:textId="77777777" w:rsidR="00D92463" w:rsidRDefault="000A3679">
      <w:pPr>
        <w:pStyle w:val="TOC5"/>
        <w:tabs>
          <w:tab w:val="left" w:pos="1080"/>
        </w:tabs>
        <w:rPr>
          <w:spacing w:val="0"/>
          <w:sz w:val="22"/>
          <w:szCs w:val="22"/>
          <w:lang w:eastAsia="en-AU"/>
        </w:rPr>
      </w:pPr>
      <w:hyperlink w:anchor="_Toc476658133" w:history="1">
        <w:r w:rsidR="00D92463" w:rsidRPr="006072D5">
          <w:rPr>
            <w:rStyle w:val="Hyperlink"/>
          </w:rPr>
          <w:t>3.1</w:t>
        </w:r>
        <w:r w:rsidR="00D92463">
          <w:rPr>
            <w:spacing w:val="0"/>
            <w:sz w:val="22"/>
            <w:szCs w:val="22"/>
            <w:lang w:eastAsia="en-AU"/>
          </w:rPr>
          <w:tab/>
        </w:r>
        <w:r w:rsidR="00D92463" w:rsidRPr="006072D5">
          <w:rPr>
            <w:rStyle w:val="Hyperlink"/>
          </w:rPr>
          <w:t>Asset funding</w:t>
        </w:r>
        <w:r w:rsidR="00D92463">
          <w:rPr>
            <w:webHidden/>
          </w:rPr>
          <w:tab/>
        </w:r>
        <w:r w:rsidR="00D92463">
          <w:rPr>
            <w:webHidden/>
          </w:rPr>
          <w:fldChar w:fldCharType="begin"/>
        </w:r>
        <w:r w:rsidR="00D92463">
          <w:rPr>
            <w:webHidden/>
          </w:rPr>
          <w:instrText xml:space="preserve"> PAGEREF _Toc476658133 \h </w:instrText>
        </w:r>
        <w:r w:rsidR="00D92463">
          <w:rPr>
            <w:webHidden/>
          </w:rPr>
        </w:r>
        <w:r w:rsidR="00D92463">
          <w:rPr>
            <w:webHidden/>
          </w:rPr>
          <w:fldChar w:fldCharType="separate"/>
        </w:r>
        <w:r w:rsidR="002536F9">
          <w:rPr>
            <w:webHidden/>
          </w:rPr>
          <w:t>51</w:t>
        </w:r>
        <w:r w:rsidR="00D92463">
          <w:rPr>
            <w:webHidden/>
          </w:rPr>
          <w:fldChar w:fldCharType="end"/>
        </w:r>
      </w:hyperlink>
    </w:p>
    <w:p w14:paraId="6FF5BC42" w14:textId="77777777" w:rsidR="00D92463" w:rsidRDefault="000A3679">
      <w:pPr>
        <w:pStyle w:val="TOC6"/>
        <w:tabs>
          <w:tab w:val="left" w:pos="1800"/>
        </w:tabs>
        <w:rPr>
          <w:spacing w:val="0"/>
          <w:sz w:val="22"/>
          <w:szCs w:val="22"/>
          <w:lang w:eastAsia="en-AU"/>
        </w:rPr>
      </w:pPr>
      <w:hyperlink w:anchor="_Toc476658134" w:history="1">
        <w:r w:rsidR="00D92463" w:rsidRPr="006072D5">
          <w:rPr>
            <w:rStyle w:val="Hyperlink"/>
          </w:rPr>
          <w:t>3.1.1</w:t>
        </w:r>
        <w:r w:rsidR="00D92463">
          <w:rPr>
            <w:spacing w:val="0"/>
            <w:sz w:val="22"/>
            <w:szCs w:val="22"/>
            <w:lang w:eastAsia="en-AU"/>
          </w:rPr>
          <w:tab/>
        </w:r>
        <w:r w:rsidR="00D92463" w:rsidRPr="006072D5">
          <w:rPr>
            <w:rStyle w:val="Hyperlink"/>
          </w:rPr>
          <w:t>Asset investment proposals considerations</w:t>
        </w:r>
        <w:r w:rsidR="00D92463">
          <w:rPr>
            <w:webHidden/>
          </w:rPr>
          <w:tab/>
        </w:r>
        <w:r w:rsidR="00D92463">
          <w:rPr>
            <w:webHidden/>
          </w:rPr>
          <w:fldChar w:fldCharType="begin"/>
        </w:r>
        <w:r w:rsidR="00D92463">
          <w:rPr>
            <w:webHidden/>
          </w:rPr>
          <w:instrText xml:space="preserve"> PAGEREF _Toc476658134 \h </w:instrText>
        </w:r>
        <w:r w:rsidR="00D92463">
          <w:rPr>
            <w:webHidden/>
          </w:rPr>
        </w:r>
        <w:r w:rsidR="00D92463">
          <w:rPr>
            <w:webHidden/>
          </w:rPr>
          <w:fldChar w:fldCharType="separate"/>
        </w:r>
        <w:r w:rsidR="002536F9">
          <w:rPr>
            <w:webHidden/>
          </w:rPr>
          <w:t>51</w:t>
        </w:r>
        <w:r w:rsidR="00D92463">
          <w:rPr>
            <w:webHidden/>
          </w:rPr>
          <w:fldChar w:fldCharType="end"/>
        </w:r>
      </w:hyperlink>
    </w:p>
    <w:p w14:paraId="41442683" w14:textId="77777777" w:rsidR="00D92463" w:rsidRDefault="000A3679">
      <w:pPr>
        <w:pStyle w:val="TOC6"/>
        <w:tabs>
          <w:tab w:val="left" w:pos="1800"/>
        </w:tabs>
        <w:rPr>
          <w:spacing w:val="0"/>
          <w:sz w:val="22"/>
          <w:szCs w:val="22"/>
          <w:lang w:eastAsia="en-AU"/>
        </w:rPr>
      </w:pPr>
      <w:hyperlink w:anchor="_Toc476658135" w:history="1">
        <w:r w:rsidR="00D92463" w:rsidRPr="006072D5">
          <w:rPr>
            <w:rStyle w:val="Hyperlink"/>
          </w:rPr>
          <w:t>3.1.2</w:t>
        </w:r>
        <w:r w:rsidR="00D92463">
          <w:rPr>
            <w:spacing w:val="0"/>
            <w:sz w:val="22"/>
            <w:szCs w:val="22"/>
            <w:lang w:eastAsia="en-AU"/>
          </w:rPr>
          <w:tab/>
        </w:r>
        <w:r w:rsidR="00D92463" w:rsidRPr="006072D5">
          <w:rPr>
            <w:rStyle w:val="Hyperlink"/>
          </w:rPr>
          <w:t>Order of funding for approved asset investment programs</w:t>
        </w:r>
        <w:r w:rsidR="00D92463">
          <w:rPr>
            <w:webHidden/>
          </w:rPr>
          <w:tab/>
        </w:r>
        <w:r w:rsidR="00D92463">
          <w:rPr>
            <w:webHidden/>
          </w:rPr>
          <w:fldChar w:fldCharType="begin"/>
        </w:r>
        <w:r w:rsidR="00D92463">
          <w:rPr>
            <w:webHidden/>
          </w:rPr>
          <w:instrText xml:space="preserve"> PAGEREF _Toc476658135 \h </w:instrText>
        </w:r>
        <w:r w:rsidR="00D92463">
          <w:rPr>
            <w:webHidden/>
          </w:rPr>
        </w:r>
        <w:r w:rsidR="00D92463">
          <w:rPr>
            <w:webHidden/>
          </w:rPr>
          <w:fldChar w:fldCharType="separate"/>
        </w:r>
        <w:r w:rsidR="002536F9">
          <w:rPr>
            <w:webHidden/>
          </w:rPr>
          <w:t>51</w:t>
        </w:r>
        <w:r w:rsidR="00D92463">
          <w:rPr>
            <w:webHidden/>
          </w:rPr>
          <w:fldChar w:fldCharType="end"/>
        </w:r>
      </w:hyperlink>
    </w:p>
    <w:p w14:paraId="6E865710" w14:textId="77777777" w:rsidR="00D92463" w:rsidRDefault="000A3679">
      <w:pPr>
        <w:pStyle w:val="TOC6"/>
        <w:tabs>
          <w:tab w:val="left" w:pos="1800"/>
        </w:tabs>
        <w:rPr>
          <w:spacing w:val="0"/>
          <w:sz w:val="22"/>
          <w:szCs w:val="22"/>
          <w:lang w:eastAsia="en-AU"/>
        </w:rPr>
      </w:pPr>
      <w:hyperlink w:anchor="_Toc476658136" w:history="1">
        <w:r w:rsidR="00D92463" w:rsidRPr="006072D5">
          <w:rPr>
            <w:rStyle w:val="Hyperlink"/>
          </w:rPr>
          <w:t>3.1.3</w:t>
        </w:r>
        <w:r w:rsidR="00D92463">
          <w:rPr>
            <w:spacing w:val="0"/>
            <w:sz w:val="22"/>
            <w:szCs w:val="22"/>
            <w:lang w:eastAsia="en-AU"/>
          </w:rPr>
          <w:tab/>
        </w:r>
        <w:r w:rsidR="00D92463" w:rsidRPr="006072D5">
          <w:rPr>
            <w:rStyle w:val="Hyperlink"/>
          </w:rPr>
          <w:t>Asset replacement</w:t>
        </w:r>
        <w:r w:rsidR="00D92463">
          <w:rPr>
            <w:webHidden/>
          </w:rPr>
          <w:tab/>
        </w:r>
        <w:r w:rsidR="00D92463">
          <w:rPr>
            <w:webHidden/>
          </w:rPr>
          <w:fldChar w:fldCharType="begin"/>
        </w:r>
        <w:r w:rsidR="00D92463">
          <w:rPr>
            <w:webHidden/>
          </w:rPr>
          <w:instrText xml:space="preserve"> PAGEREF _Toc476658136 \h </w:instrText>
        </w:r>
        <w:r w:rsidR="00D92463">
          <w:rPr>
            <w:webHidden/>
          </w:rPr>
        </w:r>
        <w:r w:rsidR="00D92463">
          <w:rPr>
            <w:webHidden/>
          </w:rPr>
          <w:fldChar w:fldCharType="separate"/>
        </w:r>
        <w:r w:rsidR="002536F9">
          <w:rPr>
            <w:webHidden/>
          </w:rPr>
          <w:t>51</w:t>
        </w:r>
        <w:r w:rsidR="00D92463">
          <w:rPr>
            <w:webHidden/>
          </w:rPr>
          <w:fldChar w:fldCharType="end"/>
        </w:r>
      </w:hyperlink>
    </w:p>
    <w:p w14:paraId="32C6FB19" w14:textId="77777777" w:rsidR="00D92463" w:rsidRDefault="000A3679">
      <w:pPr>
        <w:pStyle w:val="TOC5"/>
        <w:tabs>
          <w:tab w:val="left" w:pos="1080"/>
        </w:tabs>
        <w:rPr>
          <w:spacing w:val="0"/>
          <w:sz w:val="22"/>
          <w:szCs w:val="22"/>
          <w:lang w:eastAsia="en-AU"/>
        </w:rPr>
      </w:pPr>
      <w:hyperlink w:anchor="_Toc476658137" w:history="1">
        <w:r w:rsidR="00D92463" w:rsidRPr="006072D5">
          <w:rPr>
            <w:rStyle w:val="Hyperlink"/>
          </w:rPr>
          <w:t>3.2</w:t>
        </w:r>
        <w:r w:rsidR="00D92463">
          <w:rPr>
            <w:spacing w:val="0"/>
            <w:sz w:val="22"/>
            <w:szCs w:val="22"/>
            <w:lang w:eastAsia="en-AU"/>
          </w:rPr>
          <w:tab/>
        </w:r>
        <w:r w:rsidR="00D92463" w:rsidRPr="006072D5">
          <w:rPr>
            <w:rStyle w:val="Hyperlink"/>
          </w:rPr>
          <w:t>Capital Assets Charge</w:t>
        </w:r>
        <w:r w:rsidR="00D92463">
          <w:rPr>
            <w:webHidden/>
          </w:rPr>
          <w:tab/>
        </w:r>
        <w:r w:rsidR="00D92463">
          <w:rPr>
            <w:webHidden/>
          </w:rPr>
          <w:fldChar w:fldCharType="begin"/>
        </w:r>
        <w:r w:rsidR="00D92463">
          <w:rPr>
            <w:webHidden/>
          </w:rPr>
          <w:instrText xml:space="preserve"> PAGEREF _Toc476658137 \h </w:instrText>
        </w:r>
        <w:r w:rsidR="00D92463">
          <w:rPr>
            <w:webHidden/>
          </w:rPr>
        </w:r>
        <w:r w:rsidR="00D92463">
          <w:rPr>
            <w:webHidden/>
          </w:rPr>
          <w:fldChar w:fldCharType="separate"/>
        </w:r>
        <w:r w:rsidR="002536F9">
          <w:rPr>
            <w:webHidden/>
          </w:rPr>
          <w:t>54</w:t>
        </w:r>
        <w:r w:rsidR="00D92463">
          <w:rPr>
            <w:webHidden/>
          </w:rPr>
          <w:fldChar w:fldCharType="end"/>
        </w:r>
      </w:hyperlink>
    </w:p>
    <w:p w14:paraId="169BB258" w14:textId="77777777" w:rsidR="00D92463" w:rsidRDefault="000A3679">
      <w:pPr>
        <w:pStyle w:val="TOC6"/>
        <w:tabs>
          <w:tab w:val="left" w:pos="1800"/>
        </w:tabs>
        <w:rPr>
          <w:spacing w:val="0"/>
          <w:sz w:val="22"/>
          <w:szCs w:val="22"/>
          <w:lang w:eastAsia="en-AU"/>
        </w:rPr>
      </w:pPr>
      <w:hyperlink w:anchor="_Toc476658138" w:history="1">
        <w:r w:rsidR="00D92463" w:rsidRPr="006072D5">
          <w:rPr>
            <w:rStyle w:val="Hyperlink"/>
          </w:rPr>
          <w:t>3.2.1</w:t>
        </w:r>
        <w:r w:rsidR="00D92463">
          <w:rPr>
            <w:spacing w:val="0"/>
            <w:sz w:val="22"/>
            <w:szCs w:val="22"/>
            <w:lang w:eastAsia="en-AU"/>
          </w:rPr>
          <w:tab/>
        </w:r>
        <w:r w:rsidR="00D92463" w:rsidRPr="006072D5">
          <w:rPr>
            <w:rStyle w:val="Hyperlink"/>
          </w:rPr>
          <w:t>Capital Assets Charge levy rate</w:t>
        </w:r>
        <w:r w:rsidR="00D92463">
          <w:rPr>
            <w:webHidden/>
          </w:rPr>
          <w:tab/>
        </w:r>
        <w:r w:rsidR="00D92463">
          <w:rPr>
            <w:webHidden/>
          </w:rPr>
          <w:fldChar w:fldCharType="begin"/>
        </w:r>
        <w:r w:rsidR="00D92463">
          <w:rPr>
            <w:webHidden/>
          </w:rPr>
          <w:instrText xml:space="preserve"> PAGEREF _Toc476658138 \h </w:instrText>
        </w:r>
        <w:r w:rsidR="00D92463">
          <w:rPr>
            <w:webHidden/>
          </w:rPr>
        </w:r>
        <w:r w:rsidR="00D92463">
          <w:rPr>
            <w:webHidden/>
          </w:rPr>
          <w:fldChar w:fldCharType="separate"/>
        </w:r>
        <w:r w:rsidR="002536F9">
          <w:rPr>
            <w:webHidden/>
          </w:rPr>
          <w:t>54</w:t>
        </w:r>
        <w:r w:rsidR="00D92463">
          <w:rPr>
            <w:webHidden/>
          </w:rPr>
          <w:fldChar w:fldCharType="end"/>
        </w:r>
      </w:hyperlink>
    </w:p>
    <w:p w14:paraId="6E159FA6" w14:textId="77777777" w:rsidR="00D92463" w:rsidRDefault="000A3679">
      <w:pPr>
        <w:pStyle w:val="TOC6"/>
        <w:tabs>
          <w:tab w:val="left" w:pos="1800"/>
        </w:tabs>
        <w:rPr>
          <w:spacing w:val="0"/>
          <w:sz w:val="22"/>
          <w:szCs w:val="22"/>
          <w:lang w:eastAsia="en-AU"/>
        </w:rPr>
      </w:pPr>
      <w:hyperlink w:anchor="_Toc476658139" w:history="1">
        <w:r w:rsidR="00D92463" w:rsidRPr="006072D5">
          <w:rPr>
            <w:rStyle w:val="Hyperlink"/>
          </w:rPr>
          <w:t>3.2.2</w:t>
        </w:r>
        <w:r w:rsidR="00D92463">
          <w:rPr>
            <w:spacing w:val="0"/>
            <w:sz w:val="22"/>
            <w:szCs w:val="22"/>
            <w:lang w:eastAsia="en-AU"/>
          </w:rPr>
          <w:tab/>
        </w:r>
        <w:r w:rsidR="00D92463" w:rsidRPr="006072D5">
          <w:rPr>
            <w:rStyle w:val="Hyperlink"/>
          </w:rPr>
          <w:t>Charging of Capital Assets Charge to actuals</w:t>
        </w:r>
        <w:r w:rsidR="00D92463">
          <w:rPr>
            <w:webHidden/>
          </w:rPr>
          <w:tab/>
        </w:r>
        <w:r w:rsidR="00D92463">
          <w:rPr>
            <w:webHidden/>
          </w:rPr>
          <w:fldChar w:fldCharType="begin"/>
        </w:r>
        <w:r w:rsidR="00D92463">
          <w:rPr>
            <w:webHidden/>
          </w:rPr>
          <w:instrText xml:space="preserve"> PAGEREF _Toc476658139 \h </w:instrText>
        </w:r>
        <w:r w:rsidR="00D92463">
          <w:rPr>
            <w:webHidden/>
          </w:rPr>
        </w:r>
        <w:r w:rsidR="00D92463">
          <w:rPr>
            <w:webHidden/>
          </w:rPr>
          <w:fldChar w:fldCharType="separate"/>
        </w:r>
        <w:r w:rsidR="002536F9">
          <w:rPr>
            <w:webHidden/>
          </w:rPr>
          <w:t>54</w:t>
        </w:r>
        <w:r w:rsidR="00D92463">
          <w:rPr>
            <w:webHidden/>
          </w:rPr>
          <w:fldChar w:fldCharType="end"/>
        </w:r>
      </w:hyperlink>
    </w:p>
    <w:p w14:paraId="4E9AA0A9" w14:textId="77777777" w:rsidR="00D92463" w:rsidRDefault="000A3679">
      <w:pPr>
        <w:pStyle w:val="TOC6"/>
        <w:tabs>
          <w:tab w:val="left" w:pos="1800"/>
        </w:tabs>
        <w:rPr>
          <w:spacing w:val="0"/>
          <w:sz w:val="22"/>
          <w:szCs w:val="22"/>
          <w:lang w:eastAsia="en-AU"/>
        </w:rPr>
      </w:pPr>
      <w:hyperlink w:anchor="_Toc476658140" w:history="1">
        <w:r w:rsidR="00D92463" w:rsidRPr="006072D5">
          <w:rPr>
            <w:rStyle w:val="Hyperlink"/>
          </w:rPr>
          <w:t>3.2.3</w:t>
        </w:r>
        <w:r w:rsidR="00D92463">
          <w:rPr>
            <w:spacing w:val="0"/>
            <w:sz w:val="22"/>
            <w:szCs w:val="22"/>
            <w:lang w:eastAsia="en-AU"/>
          </w:rPr>
          <w:tab/>
        </w:r>
        <w:r w:rsidR="00D92463" w:rsidRPr="006072D5">
          <w:rPr>
            <w:rStyle w:val="Hyperlink"/>
          </w:rPr>
          <w:t>Capital Assets Charge allocation across outputs</w:t>
        </w:r>
        <w:r w:rsidR="00D92463">
          <w:rPr>
            <w:webHidden/>
          </w:rPr>
          <w:tab/>
        </w:r>
        <w:r w:rsidR="00D92463">
          <w:rPr>
            <w:webHidden/>
          </w:rPr>
          <w:fldChar w:fldCharType="begin"/>
        </w:r>
        <w:r w:rsidR="00D92463">
          <w:rPr>
            <w:webHidden/>
          </w:rPr>
          <w:instrText xml:space="preserve"> PAGEREF _Toc476658140 \h </w:instrText>
        </w:r>
        <w:r w:rsidR="00D92463">
          <w:rPr>
            <w:webHidden/>
          </w:rPr>
        </w:r>
        <w:r w:rsidR="00D92463">
          <w:rPr>
            <w:webHidden/>
          </w:rPr>
          <w:fldChar w:fldCharType="separate"/>
        </w:r>
        <w:r w:rsidR="002536F9">
          <w:rPr>
            <w:webHidden/>
          </w:rPr>
          <w:t>54</w:t>
        </w:r>
        <w:r w:rsidR="00D92463">
          <w:rPr>
            <w:webHidden/>
          </w:rPr>
          <w:fldChar w:fldCharType="end"/>
        </w:r>
      </w:hyperlink>
    </w:p>
    <w:p w14:paraId="1D1248E4" w14:textId="77777777" w:rsidR="00D92463" w:rsidRDefault="000A3679">
      <w:pPr>
        <w:pStyle w:val="TOC6"/>
        <w:tabs>
          <w:tab w:val="left" w:pos="1800"/>
        </w:tabs>
        <w:rPr>
          <w:spacing w:val="0"/>
          <w:sz w:val="22"/>
          <w:szCs w:val="22"/>
          <w:lang w:eastAsia="en-AU"/>
        </w:rPr>
      </w:pPr>
      <w:hyperlink w:anchor="_Toc476658141" w:history="1">
        <w:r w:rsidR="00D92463" w:rsidRPr="006072D5">
          <w:rPr>
            <w:rStyle w:val="Hyperlink"/>
          </w:rPr>
          <w:t>3.2.4</w:t>
        </w:r>
        <w:r w:rsidR="00D92463">
          <w:rPr>
            <w:spacing w:val="0"/>
            <w:sz w:val="22"/>
            <w:szCs w:val="22"/>
            <w:lang w:eastAsia="en-AU"/>
          </w:rPr>
          <w:tab/>
        </w:r>
        <w:r w:rsidR="00D92463" w:rsidRPr="006072D5">
          <w:rPr>
            <w:rStyle w:val="Hyperlink"/>
          </w:rPr>
          <w:t>Administered assets</w:t>
        </w:r>
        <w:r w:rsidR="00D92463">
          <w:rPr>
            <w:webHidden/>
          </w:rPr>
          <w:tab/>
        </w:r>
        <w:r w:rsidR="00D92463">
          <w:rPr>
            <w:webHidden/>
          </w:rPr>
          <w:fldChar w:fldCharType="begin"/>
        </w:r>
        <w:r w:rsidR="00D92463">
          <w:rPr>
            <w:webHidden/>
          </w:rPr>
          <w:instrText xml:space="preserve"> PAGEREF _Toc476658141 \h </w:instrText>
        </w:r>
        <w:r w:rsidR="00D92463">
          <w:rPr>
            <w:webHidden/>
          </w:rPr>
        </w:r>
        <w:r w:rsidR="00D92463">
          <w:rPr>
            <w:webHidden/>
          </w:rPr>
          <w:fldChar w:fldCharType="separate"/>
        </w:r>
        <w:r w:rsidR="002536F9">
          <w:rPr>
            <w:webHidden/>
          </w:rPr>
          <w:t>54</w:t>
        </w:r>
        <w:r w:rsidR="00D92463">
          <w:rPr>
            <w:webHidden/>
          </w:rPr>
          <w:fldChar w:fldCharType="end"/>
        </w:r>
      </w:hyperlink>
    </w:p>
    <w:p w14:paraId="61830FF8" w14:textId="77777777" w:rsidR="00D92463" w:rsidRDefault="000A3679">
      <w:pPr>
        <w:pStyle w:val="TOC6"/>
        <w:tabs>
          <w:tab w:val="left" w:pos="1800"/>
        </w:tabs>
        <w:rPr>
          <w:spacing w:val="0"/>
          <w:sz w:val="22"/>
          <w:szCs w:val="22"/>
          <w:lang w:eastAsia="en-AU"/>
        </w:rPr>
      </w:pPr>
      <w:hyperlink w:anchor="_Toc476658142" w:history="1">
        <w:r w:rsidR="00D92463" w:rsidRPr="006072D5">
          <w:rPr>
            <w:rStyle w:val="Hyperlink"/>
          </w:rPr>
          <w:t>3.2.5</w:t>
        </w:r>
        <w:r w:rsidR="00D92463">
          <w:rPr>
            <w:spacing w:val="0"/>
            <w:sz w:val="22"/>
            <w:szCs w:val="22"/>
            <w:lang w:eastAsia="en-AU"/>
          </w:rPr>
          <w:tab/>
        </w:r>
        <w:r w:rsidR="00D92463" w:rsidRPr="006072D5">
          <w:rPr>
            <w:rStyle w:val="Hyperlink"/>
          </w:rPr>
          <w:t>Financial and intangible assets</w:t>
        </w:r>
        <w:r w:rsidR="00D92463">
          <w:rPr>
            <w:webHidden/>
          </w:rPr>
          <w:tab/>
        </w:r>
        <w:r w:rsidR="00D92463">
          <w:rPr>
            <w:webHidden/>
          </w:rPr>
          <w:fldChar w:fldCharType="begin"/>
        </w:r>
        <w:r w:rsidR="00D92463">
          <w:rPr>
            <w:webHidden/>
          </w:rPr>
          <w:instrText xml:space="preserve"> PAGEREF _Toc476658142 \h </w:instrText>
        </w:r>
        <w:r w:rsidR="00D92463">
          <w:rPr>
            <w:webHidden/>
          </w:rPr>
        </w:r>
        <w:r w:rsidR="00D92463">
          <w:rPr>
            <w:webHidden/>
          </w:rPr>
          <w:fldChar w:fldCharType="separate"/>
        </w:r>
        <w:r w:rsidR="002536F9">
          <w:rPr>
            <w:webHidden/>
          </w:rPr>
          <w:t>54</w:t>
        </w:r>
        <w:r w:rsidR="00D92463">
          <w:rPr>
            <w:webHidden/>
          </w:rPr>
          <w:fldChar w:fldCharType="end"/>
        </w:r>
      </w:hyperlink>
    </w:p>
    <w:p w14:paraId="7C087F52" w14:textId="77777777" w:rsidR="00D92463" w:rsidRDefault="000A3679">
      <w:pPr>
        <w:pStyle w:val="TOC6"/>
        <w:tabs>
          <w:tab w:val="left" w:pos="1800"/>
        </w:tabs>
        <w:rPr>
          <w:spacing w:val="0"/>
          <w:sz w:val="22"/>
          <w:szCs w:val="22"/>
          <w:lang w:eastAsia="en-AU"/>
        </w:rPr>
      </w:pPr>
      <w:hyperlink w:anchor="_Toc476658143" w:history="1">
        <w:r w:rsidR="00D92463" w:rsidRPr="006072D5">
          <w:rPr>
            <w:rStyle w:val="Hyperlink"/>
          </w:rPr>
          <w:t>3.2.6</w:t>
        </w:r>
        <w:r w:rsidR="00D92463">
          <w:rPr>
            <w:spacing w:val="0"/>
            <w:sz w:val="22"/>
            <w:szCs w:val="22"/>
            <w:lang w:eastAsia="en-AU"/>
          </w:rPr>
          <w:tab/>
        </w:r>
        <w:r w:rsidR="00D92463" w:rsidRPr="006072D5">
          <w:rPr>
            <w:rStyle w:val="Hyperlink"/>
          </w:rPr>
          <w:t>Exempt controlled physical assets</w:t>
        </w:r>
        <w:r w:rsidR="00D92463">
          <w:rPr>
            <w:webHidden/>
          </w:rPr>
          <w:tab/>
        </w:r>
        <w:r w:rsidR="00D92463">
          <w:rPr>
            <w:webHidden/>
          </w:rPr>
          <w:fldChar w:fldCharType="begin"/>
        </w:r>
        <w:r w:rsidR="00D92463">
          <w:rPr>
            <w:webHidden/>
          </w:rPr>
          <w:instrText xml:space="preserve"> PAGEREF _Toc476658143 \h </w:instrText>
        </w:r>
        <w:r w:rsidR="00D92463">
          <w:rPr>
            <w:webHidden/>
          </w:rPr>
        </w:r>
        <w:r w:rsidR="00D92463">
          <w:rPr>
            <w:webHidden/>
          </w:rPr>
          <w:fldChar w:fldCharType="separate"/>
        </w:r>
        <w:r w:rsidR="002536F9">
          <w:rPr>
            <w:webHidden/>
          </w:rPr>
          <w:t>54</w:t>
        </w:r>
        <w:r w:rsidR="00D92463">
          <w:rPr>
            <w:webHidden/>
          </w:rPr>
          <w:fldChar w:fldCharType="end"/>
        </w:r>
      </w:hyperlink>
    </w:p>
    <w:p w14:paraId="4E48C528" w14:textId="77777777" w:rsidR="00D92463" w:rsidRDefault="00D92463" w:rsidP="00D92463">
      <w:pPr>
        <w:pStyle w:val="TOCHeading"/>
      </w:pPr>
      <w:r>
        <w:lastRenderedPageBreak/>
        <w:t>Contents (</w:t>
      </w:r>
      <w:r w:rsidRPr="00D92463">
        <w:rPr>
          <w:i/>
        </w:rPr>
        <w:t>continued</w:t>
      </w:r>
      <w:r>
        <w:t>)</w:t>
      </w:r>
    </w:p>
    <w:p w14:paraId="6D097202" w14:textId="77777777" w:rsidR="00D92463" w:rsidRDefault="000A3679">
      <w:pPr>
        <w:pStyle w:val="TOC4"/>
        <w:rPr>
          <w:spacing w:val="0"/>
          <w:sz w:val="22"/>
          <w:szCs w:val="22"/>
          <w:lang w:eastAsia="en-AU"/>
        </w:rPr>
      </w:pPr>
      <w:hyperlink w:anchor="_Toc476658144" w:history="1">
        <w:r w:rsidR="00D92463" w:rsidRPr="006072D5">
          <w:rPr>
            <w:rStyle w:val="Hyperlink"/>
          </w:rPr>
          <w:t>4.</w:t>
        </w:r>
        <w:r w:rsidR="00D92463">
          <w:rPr>
            <w:spacing w:val="0"/>
            <w:sz w:val="22"/>
            <w:szCs w:val="22"/>
            <w:lang w:eastAsia="en-AU"/>
          </w:rPr>
          <w:tab/>
        </w:r>
        <w:r w:rsidR="00D92463" w:rsidRPr="006072D5">
          <w:rPr>
            <w:rStyle w:val="Hyperlink"/>
          </w:rPr>
          <w:t>Other budget policies</w:t>
        </w:r>
        <w:r w:rsidR="00D92463">
          <w:rPr>
            <w:webHidden/>
          </w:rPr>
          <w:tab/>
        </w:r>
        <w:r w:rsidR="00D92463">
          <w:rPr>
            <w:webHidden/>
          </w:rPr>
          <w:fldChar w:fldCharType="begin"/>
        </w:r>
        <w:r w:rsidR="00D92463">
          <w:rPr>
            <w:webHidden/>
          </w:rPr>
          <w:instrText xml:space="preserve"> PAGEREF _Toc476658144 \h </w:instrText>
        </w:r>
        <w:r w:rsidR="00D92463">
          <w:rPr>
            <w:webHidden/>
          </w:rPr>
        </w:r>
        <w:r w:rsidR="00D92463">
          <w:rPr>
            <w:webHidden/>
          </w:rPr>
          <w:fldChar w:fldCharType="separate"/>
        </w:r>
        <w:r w:rsidR="002536F9">
          <w:rPr>
            <w:webHidden/>
          </w:rPr>
          <w:t>56</w:t>
        </w:r>
        <w:r w:rsidR="00D92463">
          <w:rPr>
            <w:webHidden/>
          </w:rPr>
          <w:fldChar w:fldCharType="end"/>
        </w:r>
      </w:hyperlink>
    </w:p>
    <w:p w14:paraId="1E67B548" w14:textId="77777777" w:rsidR="00D92463" w:rsidRDefault="000A3679">
      <w:pPr>
        <w:pStyle w:val="TOC5"/>
        <w:tabs>
          <w:tab w:val="left" w:pos="1080"/>
        </w:tabs>
        <w:rPr>
          <w:spacing w:val="0"/>
          <w:sz w:val="22"/>
          <w:szCs w:val="22"/>
          <w:lang w:eastAsia="en-AU"/>
        </w:rPr>
      </w:pPr>
      <w:hyperlink w:anchor="_Toc476658145" w:history="1">
        <w:r w:rsidR="00D92463" w:rsidRPr="006072D5">
          <w:rPr>
            <w:rStyle w:val="Hyperlink"/>
          </w:rPr>
          <w:t>4.1</w:t>
        </w:r>
        <w:r w:rsidR="00D92463">
          <w:rPr>
            <w:spacing w:val="0"/>
            <w:sz w:val="22"/>
            <w:szCs w:val="22"/>
            <w:lang w:eastAsia="en-AU"/>
          </w:rPr>
          <w:tab/>
        </w:r>
        <w:r w:rsidR="00D92463" w:rsidRPr="006072D5">
          <w:rPr>
            <w:rStyle w:val="Hyperlink"/>
          </w:rPr>
          <w:t>Hypothecation arrangements</w:t>
        </w:r>
        <w:r w:rsidR="00D92463">
          <w:rPr>
            <w:webHidden/>
          </w:rPr>
          <w:tab/>
        </w:r>
        <w:r w:rsidR="00D92463">
          <w:rPr>
            <w:webHidden/>
          </w:rPr>
          <w:fldChar w:fldCharType="begin"/>
        </w:r>
        <w:r w:rsidR="00D92463">
          <w:rPr>
            <w:webHidden/>
          </w:rPr>
          <w:instrText xml:space="preserve"> PAGEREF _Toc476658145 \h </w:instrText>
        </w:r>
        <w:r w:rsidR="00D92463">
          <w:rPr>
            <w:webHidden/>
          </w:rPr>
        </w:r>
        <w:r w:rsidR="00D92463">
          <w:rPr>
            <w:webHidden/>
          </w:rPr>
          <w:fldChar w:fldCharType="separate"/>
        </w:r>
        <w:r w:rsidR="002536F9">
          <w:rPr>
            <w:webHidden/>
          </w:rPr>
          <w:t>56</w:t>
        </w:r>
        <w:r w:rsidR="00D92463">
          <w:rPr>
            <w:webHidden/>
          </w:rPr>
          <w:fldChar w:fldCharType="end"/>
        </w:r>
      </w:hyperlink>
    </w:p>
    <w:p w14:paraId="0BA25D0E" w14:textId="77777777" w:rsidR="00D92463" w:rsidRDefault="000A3679">
      <w:pPr>
        <w:pStyle w:val="TOC6"/>
        <w:tabs>
          <w:tab w:val="left" w:pos="1800"/>
        </w:tabs>
        <w:rPr>
          <w:spacing w:val="0"/>
          <w:sz w:val="22"/>
          <w:szCs w:val="22"/>
          <w:lang w:eastAsia="en-AU"/>
        </w:rPr>
      </w:pPr>
      <w:hyperlink w:anchor="_Toc476658146" w:history="1">
        <w:r w:rsidR="00D92463" w:rsidRPr="006072D5">
          <w:rPr>
            <w:rStyle w:val="Hyperlink"/>
          </w:rPr>
          <w:t>4.1.1</w:t>
        </w:r>
        <w:r w:rsidR="00D92463">
          <w:rPr>
            <w:spacing w:val="0"/>
            <w:sz w:val="22"/>
            <w:szCs w:val="22"/>
            <w:lang w:eastAsia="en-AU"/>
          </w:rPr>
          <w:tab/>
        </w:r>
        <w:r w:rsidR="00D92463" w:rsidRPr="006072D5">
          <w:rPr>
            <w:rStyle w:val="Hyperlink"/>
          </w:rPr>
          <w:t>Instructions on hypothecation arrangements</w:t>
        </w:r>
        <w:r w:rsidR="00D92463">
          <w:rPr>
            <w:webHidden/>
          </w:rPr>
          <w:tab/>
        </w:r>
        <w:r w:rsidR="00D92463">
          <w:rPr>
            <w:webHidden/>
          </w:rPr>
          <w:fldChar w:fldCharType="begin"/>
        </w:r>
        <w:r w:rsidR="00D92463">
          <w:rPr>
            <w:webHidden/>
          </w:rPr>
          <w:instrText xml:space="preserve"> PAGEREF _Toc476658146 \h </w:instrText>
        </w:r>
        <w:r w:rsidR="00D92463">
          <w:rPr>
            <w:webHidden/>
          </w:rPr>
        </w:r>
        <w:r w:rsidR="00D92463">
          <w:rPr>
            <w:webHidden/>
          </w:rPr>
          <w:fldChar w:fldCharType="separate"/>
        </w:r>
        <w:r w:rsidR="002536F9">
          <w:rPr>
            <w:webHidden/>
          </w:rPr>
          <w:t>56</w:t>
        </w:r>
        <w:r w:rsidR="00D92463">
          <w:rPr>
            <w:webHidden/>
          </w:rPr>
          <w:fldChar w:fldCharType="end"/>
        </w:r>
      </w:hyperlink>
    </w:p>
    <w:p w14:paraId="6ED8AA04" w14:textId="77777777" w:rsidR="00D92463" w:rsidRDefault="000A3679">
      <w:pPr>
        <w:pStyle w:val="TOC5"/>
        <w:tabs>
          <w:tab w:val="left" w:pos="1080"/>
        </w:tabs>
        <w:rPr>
          <w:spacing w:val="0"/>
          <w:sz w:val="22"/>
          <w:szCs w:val="22"/>
          <w:lang w:eastAsia="en-AU"/>
        </w:rPr>
      </w:pPr>
      <w:hyperlink w:anchor="_Toc476658147" w:history="1">
        <w:r w:rsidR="00D92463" w:rsidRPr="006072D5">
          <w:rPr>
            <w:rStyle w:val="Hyperlink"/>
          </w:rPr>
          <w:t>4.2</w:t>
        </w:r>
        <w:r w:rsidR="00D92463">
          <w:rPr>
            <w:spacing w:val="0"/>
            <w:sz w:val="22"/>
            <w:szCs w:val="22"/>
            <w:lang w:eastAsia="en-AU"/>
          </w:rPr>
          <w:tab/>
        </w:r>
        <w:r w:rsidR="00D92463" w:rsidRPr="006072D5">
          <w:rPr>
            <w:rStyle w:val="Hyperlink"/>
          </w:rPr>
          <w:t>Central contingencies</w:t>
        </w:r>
        <w:r w:rsidR="00D92463">
          <w:rPr>
            <w:webHidden/>
          </w:rPr>
          <w:tab/>
        </w:r>
        <w:r w:rsidR="00D92463">
          <w:rPr>
            <w:webHidden/>
          </w:rPr>
          <w:fldChar w:fldCharType="begin"/>
        </w:r>
        <w:r w:rsidR="00D92463">
          <w:rPr>
            <w:webHidden/>
          </w:rPr>
          <w:instrText xml:space="preserve"> PAGEREF _Toc476658147 \h </w:instrText>
        </w:r>
        <w:r w:rsidR="00D92463">
          <w:rPr>
            <w:webHidden/>
          </w:rPr>
        </w:r>
        <w:r w:rsidR="00D92463">
          <w:rPr>
            <w:webHidden/>
          </w:rPr>
          <w:fldChar w:fldCharType="separate"/>
        </w:r>
        <w:r w:rsidR="002536F9">
          <w:rPr>
            <w:webHidden/>
          </w:rPr>
          <w:t>58</w:t>
        </w:r>
        <w:r w:rsidR="00D92463">
          <w:rPr>
            <w:webHidden/>
          </w:rPr>
          <w:fldChar w:fldCharType="end"/>
        </w:r>
      </w:hyperlink>
    </w:p>
    <w:p w14:paraId="08FF43AF" w14:textId="77777777" w:rsidR="00D92463" w:rsidRDefault="000A3679">
      <w:pPr>
        <w:pStyle w:val="TOC6"/>
        <w:tabs>
          <w:tab w:val="left" w:pos="1800"/>
        </w:tabs>
        <w:rPr>
          <w:spacing w:val="0"/>
          <w:sz w:val="22"/>
          <w:szCs w:val="22"/>
          <w:lang w:eastAsia="en-AU"/>
        </w:rPr>
      </w:pPr>
      <w:hyperlink w:anchor="_Toc476658148" w:history="1">
        <w:r w:rsidR="00D92463" w:rsidRPr="006072D5">
          <w:rPr>
            <w:rStyle w:val="Hyperlink"/>
          </w:rPr>
          <w:t>4.2.1</w:t>
        </w:r>
        <w:r w:rsidR="00D92463">
          <w:rPr>
            <w:spacing w:val="0"/>
            <w:sz w:val="22"/>
            <w:szCs w:val="22"/>
            <w:lang w:eastAsia="en-AU"/>
          </w:rPr>
          <w:tab/>
        </w:r>
        <w:r w:rsidR="00D92463" w:rsidRPr="006072D5">
          <w:rPr>
            <w:rStyle w:val="Hyperlink"/>
          </w:rPr>
          <w:t>Process and requirements for requests to access central contingencies</w:t>
        </w:r>
        <w:r w:rsidR="00D92463">
          <w:rPr>
            <w:webHidden/>
          </w:rPr>
          <w:tab/>
        </w:r>
        <w:r w:rsidR="00D92463">
          <w:rPr>
            <w:webHidden/>
          </w:rPr>
          <w:fldChar w:fldCharType="begin"/>
        </w:r>
        <w:r w:rsidR="00D92463">
          <w:rPr>
            <w:webHidden/>
          </w:rPr>
          <w:instrText xml:space="preserve"> PAGEREF _Toc476658148 \h </w:instrText>
        </w:r>
        <w:r w:rsidR="00D92463">
          <w:rPr>
            <w:webHidden/>
          </w:rPr>
        </w:r>
        <w:r w:rsidR="00D92463">
          <w:rPr>
            <w:webHidden/>
          </w:rPr>
          <w:fldChar w:fldCharType="separate"/>
        </w:r>
        <w:r w:rsidR="002536F9">
          <w:rPr>
            <w:webHidden/>
          </w:rPr>
          <w:t>58</w:t>
        </w:r>
        <w:r w:rsidR="00D92463">
          <w:rPr>
            <w:webHidden/>
          </w:rPr>
          <w:fldChar w:fldCharType="end"/>
        </w:r>
      </w:hyperlink>
    </w:p>
    <w:p w14:paraId="43D4372A" w14:textId="77777777" w:rsidR="00D92463" w:rsidRDefault="000A3679">
      <w:pPr>
        <w:pStyle w:val="TOC6"/>
        <w:tabs>
          <w:tab w:val="left" w:pos="1800"/>
        </w:tabs>
        <w:rPr>
          <w:spacing w:val="0"/>
          <w:sz w:val="22"/>
          <w:szCs w:val="22"/>
          <w:lang w:eastAsia="en-AU"/>
        </w:rPr>
      </w:pPr>
      <w:hyperlink w:anchor="_Toc476658149" w:history="1">
        <w:r w:rsidR="00D92463" w:rsidRPr="006072D5">
          <w:rPr>
            <w:rStyle w:val="Hyperlink"/>
          </w:rPr>
          <w:t>4.2.2</w:t>
        </w:r>
        <w:r w:rsidR="00D92463">
          <w:rPr>
            <w:spacing w:val="0"/>
            <w:sz w:val="22"/>
            <w:szCs w:val="22"/>
            <w:lang w:eastAsia="en-AU"/>
          </w:rPr>
          <w:tab/>
        </w:r>
        <w:r w:rsidR="00D92463" w:rsidRPr="006072D5">
          <w:rPr>
            <w:rStyle w:val="Hyperlink"/>
          </w:rPr>
          <w:t>Reporting on expenditure from central contingencies</w:t>
        </w:r>
        <w:r w:rsidR="00D92463">
          <w:rPr>
            <w:webHidden/>
          </w:rPr>
          <w:tab/>
        </w:r>
        <w:r w:rsidR="00D92463">
          <w:rPr>
            <w:webHidden/>
          </w:rPr>
          <w:fldChar w:fldCharType="begin"/>
        </w:r>
        <w:r w:rsidR="00D92463">
          <w:rPr>
            <w:webHidden/>
          </w:rPr>
          <w:instrText xml:space="preserve"> PAGEREF _Toc476658149 \h </w:instrText>
        </w:r>
        <w:r w:rsidR="00D92463">
          <w:rPr>
            <w:webHidden/>
          </w:rPr>
        </w:r>
        <w:r w:rsidR="00D92463">
          <w:rPr>
            <w:webHidden/>
          </w:rPr>
          <w:fldChar w:fldCharType="separate"/>
        </w:r>
        <w:r w:rsidR="002536F9">
          <w:rPr>
            <w:webHidden/>
          </w:rPr>
          <w:t>58</w:t>
        </w:r>
        <w:r w:rsidR="00D92463">
          <w:rPr>
            <w:webHidden/>
          </w:rPr>
          <w:fldChar w:fldCharType="end"/>
        </w:r>
      </w:hyperlink>
    </w:p>
    <w:p w14:paraId="3F550EA4" w14:textId="77777777" w:rsidR="00D92463" w:rsidRDefault="000A3679">
      <w:pPr>
        <w:pStyle w:val="TOC6"/>
        <w:tabs>
          <w:tab w:val="left" w:pos="1800"/>
        </w:tabs>
        <w:rPr>
          <w:spacing w:val="0"/>
          <w:sz w:val="22"/>
          <w:szCs w:val="22"/>
          <w:lang w:eastAsia="en-AU"/>
        </w:rPr>
      </w:pPr>
      <w:hyperlink w:anchor="_Toc476658150" w:history="1">
        <w:r w:rsidR="00D92463" w:rsidRPr="006072D5">
          <w:rPr>
            <w:rStyle w:val="Hyperlink"/>
          </w:rPr>
          <w:t>4.2.3</w:t>
        </w:r>
        <w:r w:rsidR="00D92463">
          <w:rPr>
            <w:spacing w:val="0"/>
            <w:sz w:val="22"/>
            <w:szCs w:val="22"/>
            <w:lang w:eastAsia="en-AU"/>
          </w:rPr>
          <w:tab/>
        </w:r>
        <w:r w:rsidR="00D92463" w:rsidRPr="006072D5">
          <w:rPr>
            <w:rStyle w:val="Hyperlink"/>
          </w:rPr>
          <w:t>Restrictions on central contingencies</w:t>
        </w:r>
        <w:r w:rsidR="00D92463">
          <w:rPr>
            <w:webHidden/>
          </w:rPr>
          <w:tab/>
        </w:r>
        <w:r w:rsidR="00D92463">
          <w:rPr>
            <w:webHidden/>
          </w:rPr>
          <w:fldChar w:fldCharType="begin"/>
        </w:r>
        <w:r w:rsidR="00D92463">
          <w:rPr>
            <w:webHidden/>
          </w:rPr>
          <w:instrText xml:space="preserve"> PAGEREF _Toc476658150 \h </w:instrText>
        </w:r>
        <w:r w:rsidR="00D92463">
          <w:rPr>
            <w:webHidden/>
          </w:rPr>
        </w:r>
        <w:r w:rsidR="00D92463">
          <w:rPr>
            <w:webHidden/>
          </w:rPr>
          <w:fldChar w:fldCharType="separate"/>
        </w:r>
        <w:r w:rsidR="002536F9">
          <w:rPr>
            <w:webHidden/>
          </w:rPr>
          <w:t>58</w:t>
        </w:r>
        <w:r w:rsidR="00D92463">
          <w:rPr>
            <w:webHidden/>
          </w:rPr>
          <w:fldChar w:fldCharType="end"/>
        </w:r>
      </w:hyperlink>
    </w:p>
    <w:p w14:paraId="3D1F6EE3" w14:textId="77777777" w:rsidR="00D92463" w:rsidRDefault="000A3679">
      <w:pPr>
        <w:pStyle w:val="TOC4"/>
        <w:rPr>
          <w:spacing w:val="0"/>
          <w:sz w:val="22"/>
          <w:szCs w:val="22"/>
          <w:lang w:eastAsia="en-AU"/>
        </w:rPr>
      </w:pPr>
      <w:hyperlink w:anchor="_Toc476658151" w:history="1">
        <w:r w:rsidR="00D92463" w:rsidRPr="006072D5">
          <w:rPr>
            <w:rStyle w:val="Hyperlink"/>
          </w:rPr>
          <w:t>5.</w:t>
        </w:r>
        <w:r w:rsidR="00D92463">
          <w:rPr>
            <w:spacing w:val="0"/>
            <w:sz w:val="22"/>
            <w:szCs w:val="22"/>
            <w:lang w:eastAsia="en-AU"/>
          </w:rPr>
          <w:tab/>
        </w:r>
        <w:r w:rsidR="00D92463" w:rsidRPr="006072D5">
          <w:rPr>
            <w:rStyle w:val="Hyperlink"/>
          </w:rPr>
          <w:t>Concepts and mechanisms underpinning budget and financial management</w:t>
        </w:r>
        <w:r w:rsidR="00D92463">
          <w:rPr>
            <w:webHidden/>
          </w:rPr>
          <w:tab/>
        </w:r>
        <w:r w:rsidR="00D92463">
          <w:rPr>
            <w:webHidden/>
          </w:rPr>
          <w:fldChar w:fldCharType="begin"/>
        </w:r>
        <w:r w:rsidR="00D92463">
          <w:rPr>
            <w:webHidden/>
          </w:rPr>
          <w:instrText xml:space="preserve"> PAGEREF _Toc476658151 \h </w:instrText>
        </w:r>
        <w:r w:rsidR="00D92463">
          <w:rPr>
            <w:webHidden/>
          </w:rPr>
        </w:r>
        <w:r w:rsidR="00D92463">
          <w:rPr>
            <w:webHidden/>
          </w:rPr>
          <w:fldChar w:fldCharType="separate"/>
        </w:r>
        <w:r w:rsidR="002536F9">
          <w:rPr>
            <w:webHidden/>
          </w:rPr>
          <w:t>60</w:t>
        </w:r>
        <w:r w:rsidR="00D92463">
          <w:rPr>
            <w:webHidden/>
          </w:rPr>
          <w:fldChar w:fldCharType="end"/>
        </w:r>
      </w:hyperlink>
    </w:p>
    <w:p w14:paraId="79EDD4FA" w14:textId="77777777" w:rsidR="00D92463" w:rsidRDefault="000A3679">
      <w:pPr>
        <w:pStyle w:val="TOC5"/>
        <w:tabs>
          <w:tab w:val="left" w:pos="1080"/>
        </w:tabs>
        <w:rPr>
          <w:spacing w:val="0"/>
          <w:sz w:val="22"/>
          <w:szCs w:val="22"/>
          <w:lang w:eastAsia="en-AU"/>
        </w:rPr>
      </w:pPr>
      <w:hyperlink w:anchor="_Toc476658152" w:history="1">
        <w:r w:rsidR="00D92463" w:rsidRPr="006072D5">
          <w:rPr>
            <w:rStyle w:val="Hyperlink"/>
          </w:rPr>
          <w:t>5.1</w:t>
        </w:r>
        <w:r w:rsidR="00D92463">
          <w:rPr>
            <w:spacing w:val="0"/>
            <w:sz w:val="22"/>
            <w:szCs w:val="22"/>
            <w:lang w:eastAsia="en-AU"/>
          </w:rPr>
          <w:tab/>
        </w:r>
        <w:r w:rsidR="00D92463" w:rsidRPr="006072D5">
          <w:rPr>
            <w:rStyle w:val="Hyperlink"/>
          </w:rPr>
          <w:t>The State Administration Unit</w:t>
        </w:r>
        <w:r w:rsidR="00D92463">
          <w:rPr>
            <w:webHidden/>
          </w:rPr>
          <w:tab/>
        </w:r>
        <w:r w:rsidR="00D92463">
          <w:rPr>
            <w:webHidden/>
          </w:rPr>
          <w:fldChar w:fldCharType="begin"/>
        </w:r>
        <w:r w:rsidR="00D92463">
          <w:rPr>
            <w:webHidden/>
          </w:rPr>
          <w:instrText xml:space="preserve"> PAGEREF _Toc476658152 \h </w:instrText>
        </w:r>
        <w:r w:rsidR="00D92463">
          <w:rPr>
            <w:webHidden/>
          </w:rPr>
        </w:r>
        <w:r w:rsidR="00D92463">
          <w:rPr>
            <w:webHidden/>
          </w:rPr>
          <w:fldChar w:fldCharType="separate"/>
        </w:r>
        <w:r w:rsidR="002536F9">
          <w:rPr>
            <w:webHidden/>
          </w:rPr>
          <w:t>60</w:t>
        </w:r>
        <w:r w:rsidR="00D92463">
          <w:rPr>
            <w:webHidden/>
          </w:rPr>
          <w:fldChar w:fldCharType="end"/>
        </w:r>
      </w:hyperlink>
    </w:p>
    <w:p w14:paraId="341064D8" w14:textId="77777777" w:rsidR="00D92463" w:rsidRDefault="000A3679">
      <w:pPr>
        <w:pStyle w:val="TOC5"/>
        <w:tabs>
          <w:tab w:val="left" w:pos="1080"/>
        </w:tabs>
        <w:rPr>
          <w:spacing w:val="0"/>
          <w:sz w:val="22"/>
          <w:szCs w:val="22"/>
          <w:lang w:eastAsia="en-AU"/>
        </w:rPr>
      </w:pPr>
      <w:hyperlink w:anchor="_Toc476658153" w:history="1">
        <w:r w:rsidR="00D92463" w:rsidRPr="006072D5">
          <w:rPr>
            <w:rStyle w:val="Hyperlink"/>
          </w:rPr>
          <w:t>5.2</w:t>
        </w:r>
        <w:r w:rsidR="00D92463">
          <w:rPr>
            <w:spacing w:val="0"/>
            <w:sz w:val="22"/>
            <w:szCs w:val="22"/>
            <w:lang w:eastAsia="en-AU"/>
          </w:rPr>
          <w:tab/>
        </w:r>
        <w:r w:rsidR="00D92463" w:rsidRPr="006072D5">
          <w:rPr>
            <w:rStyle w:val="Hyperlink"/>
          </w:rPr>
          <w:t>The SAU inter-entity account dissection</w:t>
        </w:r>
        <w:r w:rsidR="00D92463">
          <w:rPr>
            <w:webHidden/>
          </w:rPr>
          <w:tab/>
        </w:r>
        <w:r w:rsidR="00D92463">
          <w:rPr>
            <w:webHidden/>
          </w:rPr>
          <w:fldChar w:fldCharType="begin"/>
        </w:r>
        <w:r w:rsidR="00D92463">
          <w:rPr>
            <w:webHidden/>
          </w:rPr>
          <w:instrText xml:space="preserve"> PAGEREF _Toc476658153 \h </w:instrText>
        </w:r>
        <w:r w:rsidR="00D92463">
          <w:rPr>
            <w:webHidden/>
          </w:rPr>
        </w:r>
        <w:r w:rsidR="00D92463">
          <w:rPr>
            <w:webHidden/>
          </w:rPr>
          <w:fldChar w:fldCharType="separate"/>
        </w:r>
        <w:r w:rsidR="002536F9">
          <w:rPr>
            <w:webHidden/>
          </w:rPr>
          <w:t>63</w:t>
        </w:r>
        <w:r w:rsidR="00D92463">
          <w:rPr>
            <w:webHidden/>
          </w:rPr>
          <w:fldChar w:fldCharType="end"/>
        </w:r>
      </w:hyperlink>
    </w:p>
    <w:p w14:paraId="73F98D34" w14:textId="77777777" w:rsidR="00D92463" w:rsidRDefault="000A3679">
      <w:pPr>
        <w:pStyle w:val="TOC6"/>
        <w:tabs>
          <w:tab w:val="left" w:pos="1800"/>
        </w:tabs>
        <w:rPr>
          <w:spacing w:val="0"/>
          <w:sz w:val="22"/>
          <w:szCs w:val="22"/>
          <w:lang w:eastAsia="en-AU"/>
        </w:rPr>
      </w:pPr>
      <w:hyperlink w:anchor="_Toc476658154" w:history="1">
        <w:r w:rsidR="00D92463" w:rsidRPr="006072D5">
          <w:rPr>
            <w:rStyle w:val="Hyperlink"/>
          </w:rPr>
          <w:t>5.2.1</w:t>
        </w:r>
        <w:r w:rsidR="00D92463">
          <w:rPr>
            <w:spacing w:val="0"/>
            <w:sz w:val="22"/>
            <w:szCs w:val="22"/>
            <w:lang w:eastAsia="en-AU"/>
          </w:rPr>
          <w:tab/>
        </w:r>
        <w:r w:rsidR="00D92463" w:rsidRPr="006072D5">
          <w:rPr>
            <w:rStyle w:val="Hyperlink"/>
          </w:rPr>
          <w:t>SAU inter-entity account dissection requirements and time frames</w:t>
        </w:r>
        <w:r w:rsidR="00D92463">
          <w:rPr>
            <w:webHidden/>
          </w:rPr>
          <w:tab/>
        </w:r>
        <w:r w:rsidR="00D92463">
          <w:rPr>
            <w:webHidden/>
          </w:rPr>
          <w:fldChar w:fldCharType="begin"/>
        </w:r>
        <w:r w:rsidR="00D92463">
          <w:rPr>
            <w:webHidden/>
          </w:rPr>
          <w:instrText xml:space="preserve"> PAGEREF _Toc476658154 \h </w:instrText>
        </w:r>
        <w:r w:rsidR="00D92463">
          <w:rPr>
            <w:webHidden/>
          </w:rPr>
        </w:r>
        <w:r w:rsidR="00D92463">
          <w:rPr>
            <w:webHidden/>
          </w:rPr>
          <w:fldChar w:fldCharType="separate"/>
        </w:r>
        <w:r w:rsidR="002536F9">
          <w:rPr>
            <w:webHidden/>
          </w:rPr>
          <w:t>63</w:t>
        </w:r>
        <w:r w:rsidR="00D92463">
          <w:rPr>
            <w:webHidden/>
          </w:rPr>
          <w:fldChar w:fldCharType="end"/>
        </w:r>
      </w:hyperlink>
    </w:p>
    <w:p w14:paraId="47AB02D2" w14:textId="77777777" w:rsidR="00D92463" w:rsidRDefault="000A3679">
      <w:pPr>
        <w:pStyle w:val="TOC6"/>
        <w:tabs>
          <w:tab w:val="left" w:pos="1800"/>
        </w:tabs>
        <w:rPr>
          <w:spacing w:val="0"/>
          <w:sz w:val="22"/>
          <w:szCs w:val="22"/>
          <w:lang w:eastAsia="en-AU"/>
        </w:rPr>
      </w:pPr>
      <w:hyperlink w:anchor="_Toc476658155" w:history="1">
        <w:r w:rsidR="00D92463" w:rsidRPr="006072D5">
          <w:rPr>
            <w:rStyle w:val="Hyperlink"/>
          </w:rPr>
          <w:t>5.2.2</w:t>
        </w:r>
        <w:r w:rsidR="00D92463">
          <w:rPr>
            <w:spacing w:val="0"/>
            <w:sz w:val="22"/>
            <w:szCs w:val="22"/>
            <w:lang w:eastAsia="en-AU"/>
          </w:rPr>
          <w:tab/>
        </w:r>
        <w:r w:rsidR="00D92463" w:rsidRPr="006072D5">
          <w:rPr>
            <w:rStyle w:val="Hyperlink"/>
          </w:rPr>
          <w:t>Specific end of year requirements</w:t>
        </w:r>
        <w:r w:rsidR="00D92463">
          <w:rPr>
            <w:webHidden/>
          </w:rPr>
          <w:tab/>
        </w:r>
        <w:r w:rsidR="00D92463">
          <w:rPr>
            <w:webHidden/>
          </w:rPr>
          <w:fldChar w:fldCharType="begin"/>
        </w:r>
        <w:r w:rsidR="00D92463">
          <w:rPr>
            <w:webHidden/>
          </w:rPr>
          <w:instrText xml:space="preserve"> PAGEREF _Toc476658155 \h </w:instrText>
        </w:r>
        <w:r w:rsidR="00D92463">
          <w:rPr>
            <w:webHidden/>
          </w:rPr>
        </w:r>
        <w:r w:rsidR="00D92463">
          <w:rPr>
            <w:webHidden/>
          </w:rPr>
          <w:fldChar w:fldCharType="separate"/>
        </w:r>
        <w:r w:rsidR="002536F9">
          <w:rPr>
            <w:webHidden/>
          </w:rPr>
          <w:t>63</w:t>
        </w:r>
        <w:r w:rsidR="00D92463">
          <w:rPr>
            <w:webHidden/>
          </w:rPr>
          <w:fldChar w:fldCharType="end"/>
        </w:r>
      </w:hyperlink>
    </w:p>
    <w:p w14:paraId="06980098" w14:textId="77777777" w:rsidR="00D92463" w:rsidRDefault="000A3679">
      <w:pPr>
        <w:pStyle w:val="TOC6"/>
        <w:tabs>
          <w:tab w:val="left" w:pos="1800"/>
        </w:tabs>
        <w:rPr>
          <w:spacing w:val="0"/>
          <w:sz w:val="22"/>
          <w:szCs w:val="22"/>
          <w:lang w:eastAsia="en-AU"/>
        </w:rPr>
      </w:pPr>
      <w:hyperlink w:anchor="_Toc476658156" w:history="1">
        <w:r w:rsidR="00D92463" w:rsidRPr="006072D5">
          <w:rPr>
            <w:rStyle w:val="Hyperlink"/>
          </w:rPr>
          <w:t>5.2.3</w:t>
        </w:r>
        <w:r w:rsidR="00D92463">
          <w:rPr>
            <w:spacing w:val="0"/>
            <w:sz w:val="22"/>
            <w:szCs w:val="22"/>
            <w:lang w:eastAsia="en-AU"/>
          </w:rPr>
          <w:tab/>
        </w:r>
        <w:r w:rsidR="00D92463" w:rsidRPr="006072D5">
          <w:rPr>
            <w:rStyle w:val="Hyperlink"/>
          </w:rPr>
          <w:t>Machinery of government changes requirements</w:t>
        </w:r>
        <w:r w:rsidR="00D92463">
          <w:rPr>
            <w:webHidden/>
          </w:rPr>
          <w:tab/>
        </w:r>
        <w:r w:rsidR="00D92463">
          <w:rPr>
            <w:webHidden/>
          </w:rPr>
          <w:fldChar w:fldCharType="begin"/>
        </w:r>
        <w:r w:rsidR="00D92463">
          <w:rPr>
            <w:webHidden/>
          </w:rPr>
          <w:instrText xml:space="preserve"> PAGEREF _Toc476658156 \h </w:instrText>
        </w:r>
        <w:r w:rsidR="00D92463">
          <w:rPr>
            <w:webHidden/>
          </w:rPr>
        </w:r>
        <w:r w:rsidR="00D92463">
          <w:rPr>
            <w:webHidden/>
          </w:rPr>
          <w:fldChar w:fldCharType="separate"/>
        </w:r>
        <w:r w:rsidR="002536F9">
          <w:rPr>
            <w:webHidden/>
          </w:rPr>
          <w:t>63</w:t>
        </w:r>
        <w:r w:rsidR="00D92463">
          <w:rPr>
            <w:webHidden/>
          </w:rPr>
          <w:fldChar w:fldCharType="end"/>
        </w:r>
      </w:hyperlink>
    </w:p>
    <w:p w14:paraId="105B7394" w14:textId="77777777" w:rsidR="00D92463" w:rsidRDefault="000A3679">
      <w:pPr>
        <w:pStyle w:val="TOC6"/>
        <w:tabs>
          <w:tab w:val="left" w:pos="1800"/>
        </w:tabs>
        <w:rPr>
          <w:spacing w:val="0"/>
          <w:sz w:val="22"/>
          <w:szCs w:val="22"/>
          <w:lang w:eastAsia="en-AU"/>
        </w:rPr>
      </w:pPr>
      <w:hyperlink w:anchor="_Toc476658157" w:history="1">
        <w:r w:rsidR="00D92463" w:rsidRPr="006072D5">
          <w:rPr>
            <w:rStyle w:val="Hyperlink"/>
          </w:rPr>
          <w:t>5.2.4</w:t>
        </w:r>
        <w:r w:rsidR="00D92463">
          <w:rPr>
            <w:spacing w:val="0"/>
            <w:sz w:val="22"/>
            <w:szCs w:val="22"/>
            <w:lang w:eastAsia="en-AU"/>
          </w:rPr>
          <w:tab/>
        </w:r>
        <w:r w:rsidR="00D92463" w:rsidRPr="006072D5">
          <w:rPr>
            <w:rStyle w:val="Hyperlink"/>
          </w:rPr>
          <w:t>Resolution of issues</w:t>
        </w:r>
        <w:r w:rsidR="00D92463">
          <w:rPr>
            <w:webHidden/>
          </w:rPr>
          <w:tab/>
        </w:r>
        <w:r w:rsidR="00D92463">
          <w:rPr>
            <w:webHidden/>
          </w:rPr>
          <w:fldChar w:fldCharType="begin"/>
        </w:r>
        <w:r w:rsidR="00D92463">
          <w:rPr>
            <w:webHidden/>
          </w:rPr>
          <w:instrText xml:space="preserve"> PAGEREF _Toc476658157 \h </w:instrText>
        </w:r>
        <w:r w:rsidR="00D92463">
          <w:rPr>
            <w:webHidden/>
          </w:rPr>
        </w:r>
        <w:r w:rsidR="00D92463">
          <w:rPr>
            <w:webHidden/>
          </w:rPr>
          <w:fldChar w:fldCharType="separate"/>
        </w:r>
        <w:r w:rsidR="002536F9">
          <w:rPr>
            <w:webHidden/>
          </w:rPr>
          <w:t>63</w:t>
        </w:r>
        <w:r w:rsidR="00D92463">
          <w:rPr>
            <w:webHidden/>
          </w:rPr>
          <w:fldChar w:fldCharType="end"/>
        </w:r>
      </w:hyperlink>
    </w:p>
    <w:p w14:paraId="1F6DBCA0" w14:textId="77777777" w:rsidR="00D92463" w:rsidRDefault="000A3679">
      <w:pPr>
        <w:pStyle w:val="TOC4"/>
        <w:rPr>
          <w:spacing w:val="0"/>
          <w:sz w:val="22"/>
          <w:szCs w:val="22"/>
          <w:lang w:eastAsia="en-AU"/>
        </w:rPr>
      </w:pPr>
      <w:hyperlink w:anchor="_Toc476658158" w:history="1">
        <w:r w:rsidR="00D92463" w:rsidRPr="006072D5">
          <w:rPr>
            <w:rStyle w:val="Hyperlink"/>
          </w:rPr>
          <w:t>6.</w:t>
        </w:r>
        <w:r w:rsidR="00D92463">
          <w:rPr>
            <w:spacing w:val="0"/>
            <w:sz w:val="22"/>
            <w:szCs w:val="22"/>
            <w:lang w:eastAsia="en-AU"/>
          </w:rPr>
          <w:tab/>
        </w:r>
        <w:r w:rsidR="00D92463" w:rsidRPr="006072D5">
          <w:rPr>
            <w:rStyle w:val="Hyperlink"/>
          </w:rPr>
          <w:t>Guidance on estimates updates</w:t>
        </w:r>
        <w:r w:rsidR="00D92463">
          <w:rPr>
            <w:webHidden/>
          </w:rPr>
          <w:tab/>
        </w:r>
        <w:r w:rsidR="00D92463">
          <w:rPr>
            <w:webHidden/>
          </w:rPr>
          <w:fldChar w:fldCharType="begin"/>
        </w:r>
        <w:r w:rsidR="00D92463">
          <w:rPr>
            <w:webHidden/>
          </w:rPr>
          <w:instrText xml:space="preserve"> PAGEREF _Toc476658158 \h </w:instrText>
        </w:r>
        <w:r w:rsidR="00D92463">
          <w:rPr>
            <w:webHidden/>
          </w:rPr>
        </w:r>
        <w:r w:rsidR="00D92463">
          <w:rPr>
            <w:webHidden/>
          </w:rPr>
          <w:fldChar w:fldCharType="separate"/>
        </w:r>
        <w:r w:rsidR="002536F9">
          <w:rPr>
            <w:webHidden/>
          </w:rPr>
          <w:t>65</w:t>
        </w:r>
        <w:r w:rsidR="00D92463">
          <w:rPr>
            <w:webHidden/>
          </w:rPr>
          <w:fldChar w:fldCharType="end"/>
        </w:r>
      </w:hyperlink>
    </w:p>
    <w:p w14:paraId="4FEA0105" w14:textId="77777777" w:rsidR="00D92463" w:rsidRDefault="000A3679">
      <w:pPr>
        <w:pStyle w:val="TOC5"/>
        <w:tabs>
          <w:tab w:val="left" w:pos="1080"/>
        </w:tabs>
        <w:rPr>
          <w:spacing w:val="0"/>
          <w:sz w:val="22"/>
          <w:szCs w:val="22"/>
          <w:lang w:eastAsia="en-AU"/>
        </w:rPr>
      </w:pPr>
      <w:hyperlink w:anchor="_Toc476658159" w:history="1">
        <w:r w:rsidR="00D92463" w:rsidRPr="006072D5">
          <w:rPr>
            <w:rStyle w:val="Hyperlink"/>
          </w:rPr>
          <w:t>6.1</w:t>
        </w:r>
        <w:r w:rsidR="00D92463">
          <w:rPr>
            <w:spacing w:val="0"/>
            <w:sz w:val="22"/>
            <w:szCs w:val="22"/>
            <w:lang w:eastAsia="en-AU"/>
          </w:rPr>
          <w:tab/>
        </w:r>
        <w:r w:rsidR="00D92463" w:rsidRPr="006072D5">
          <w:rPr>
            <w:rStyle w:val="Hyperlink"/>
          </w:rPr>
          <w:t>Policy vs non-policy journal entries</w:t>
        </w:r>
        <w:r w:rsidR="00D92463">
          <w:rPr>
            <w:webHidden/>
          </w:rPr>
          <w:tab/>
        </w:r>
        <w:r w:rsidR="00D92463">
          <w:rPr>
            <w:webHidden/>
          </w:rPr>
          <w:fldChar w:fldCharType="begin"/>
        </w:r>
        <w:r w:rsidR="00D92463">
          <w:rPr>
            <w:webHidden/>
          </w:rPr>
          <w:instrText xml:space="preserve"> PAGEREF _Toc476658159 \h </w:instrText>
        </w:r>
        <w:r w:rsidR="00D92463">
          <w:rPr>
            <w:webHidden/>
          </w:rPr>
        </w:r>
        <w:r w:rsidR="00D92463">
          <w:rPr>
            <w:webHidden/>
          </w:rPr>
          <w:fldChar w:fldCharType="separate"/>
        </w:r>
        <w:r w:rsidR="002536F9">
          <w:rPr>
            <w:webHidden/>
          </w:rPr>
          <w:t>65</w:t>
        </w:r>
        <w:r w:rsidR="00D92463">
          <w:rPr>
            <w:webHidden/>
          </w:rPr>
          <w:fldChar w:fldCharType="end"/>
        </w:r>
      </w:hyperlink>
    </w:p>
    <w:p w14:paraId="5F35EDD0" w14:textId="77777777" w:rsidR="00D92463" w:rsidRDefault="000A3679">
      <w:pPr>
        <w:pStyle w:val="TOC5"/>
        <w:tabs>
          <w:tab w:val="left" w:pos="1080"/>
        </w:tabs>
        <w:rPr>
          <w:spacing w:val="0"/>
          <w:sz w:val="22"/>
          <w:szCs w:val="22"/>
          <w:lang w:eastAsia="en-AU"/>
        </w:rPr>
      </w:pPr>
      <w:hyperlink w:anchor="_Toc476658160" w:history="1">
        <w:r w:rsidR="00D92463" w:rsidRPr="006072D5">
          <w:rPr>
            <w:rStyle w:val="Hyperlink"/>
          </w:rPr>
          <w:t>6.2</w:t>
        </w:r>
        <w:r w:rsidR="00D92463">
          <w:rPr>
            <w:spacing w:val="0"/>
            <w:sz w:val="22"/>
            <w:szCs w:val="22"/>
            <w:lang w:eastAsia="en-AU"/>
          </w:rPr>
          <w:tab/>
        </w:r>
        <w:r w:rsidR="00D92463" w:rsidRPr="006072D5">
          <w:rPr>
            <w:rStyle w:val="Hyperlink"/>
          </w:rPr>
          <w:t>Process for the creation of the fourth year estimates in SRIMS (rollover)</w:t>
        </w:r>
        <w:r w:rsidR="00D92463">
          <w:rPr>
            <w:webHidden/>
          </w:rPr>
          <w:tab/>
        </w:r>
        <w:r w:rsidR="00D92463">
          <w:rPr>
            <w:webHidden/>
          </w:rPr>
          <w:fldChar w:fldCharType="begin"/>
        </w:r>
        <w:r w:rsidR="00D92463">
          <w:rPr>
            <w:webHidden/>
          </w:rPr>
          <w:instrText xml:space="preserve"> PAGEREF _Toc476658160 \h </w:instrText>
        </w:r>
        <w:r w:rsidR="00D92463">
          <w:rPr>
            <w:webHidden/>
          </w:rPr>
        </w:r>
        <w:r w:rsidR="00D92463">
          <w:rPr>
            <w:webHidden/>
          </w:rPr>
          <w:fldChar w:fldCharType="separate"/>
        </w:r>
        <w:r w:rsidR="002536F9">
          <w:rPr>
            <w:webHidden/>
          </w:rPr>
          <w:t>66</w:t>
        </w:r>
        <w:r w:rsidR="00D92463">
          <w:rPr>
            <w:webHidden/>
          </w:rPr>
          <w:fldChar w:fldCharType="end"/>
        </w:r>
      </w:hyperlink>
    </w:p>
    <w:p w14:paraId="32F12BF7" w14:textId="77777777" w:rsidR="00D92463" w:rsidRDefault="000A3679">
      <w:pPr>
        <w:pStyle w:val="TOC1"/>
        <w:rPr>
          <w:noProof/>
          <w:spacing w:val="0"/>
          <w:sz w:val="22"/>
          <w:szCs w:val="22"/>
        </w:rPr>
      </w:pPr>
      <w:hyperlink w:anchor="_Toc476658161" w:history="1">
        <w:r w:rsidR="00D92463" w:rsidRPr="006072D5">
          <w:rPr>
            <w:rStyle w:val="Hyperlink"/>
            <w:noProof/>
          </w:rPr>
          <w:t>Attachments</w:t>
        </w:r>
        <w:r w:rsidR="00D92463">
          <w:rPr>
            <w:noProof/>
            <w:webHidden/>
          </w:rPr>
          <w:tab/>
        </w:r>
        <w:r w:rsidR="00D92463">
          <w:rPr>
            <w:noProof/>
            <w:webHidden/>
          </w:rPr>
          <w:fldChar w:fldCharType="begin"/>
        </w:r>
        <w:r w:rsidR="00D92463">
          <w:rPr>
            <w:noProof/>
            <w:webHidden/>
          </w:rPr>
          <w:instrText xml:space="preserve"> PAGEREF _Toc476658161 \h </w:instrText>
        </w:r>
        <w:r w:rsidR="00D92463">
          <w:rPr>
            <w:noProof/>
            <w:webHidden/>
          </w:rPr>
        </w:r>
        <w:r w:rsidR="00D92463">
          <w:rPr>
            <w:noProof/>
            <w:webHidden/>
          </w:rPr>
          <w:fldChar w:fldCharType="separate"/>
        </w:r>
        <w:r w:rsidR="002536F9">
          <w:rPr>
            <w:noProof/>
            <w:webHidden/>
          </w:rPr>
          <w:t>68</w:t>
        </w:r>
        <w:r w:rsidR="00D92463">
          <w:rPr>
            <w:noProof/>
            <w:webHidden/>
          </w:rPr>
          <w:fldChar w:fldCharType="end"/>
        </w:r>
      </w:hyperlink>
    </w:p>
    <w:p w14:paraId="69306FAE" w14:textId="77777777" w:rsidR="00D92463" w:rsidRDefault="000A3679">
      <w:pPr>
        <w:pStyle w:val="TOC2"/>
        <w:rPr>
          <w:spacing w:val="0"/>
          <w:sz w:val="22"/>
          <w:szCs w:val="22"/>
        </w:rPr>
      </w:pPr>
      <w:hyperlink w:anchor="_Toc476658162" w:history="1">
        <w:r w:rsidR="00D92463" w:rsidRPr="006072D5">
          <w:rPr>
            <w:rStyle w:val="Hyperlink"/>
          </w:rPr>
          <w:t>Attachment 1: SAU dissection template</w:t>
        </w:r>
        <w:r w:rsidR="00D92463">
          <w:rPr>
            <w:webHidden/>
          </w:rPr>
          <w:tab/>
        </w:r>
        <w:r w:rsidR="00D92463">
          <w:rPr>
            <w:webHidden/>
          </w:rPr>
          <w:fldChar w:fldCharType="begin"/>
        </w:r>
        <w:r w:rsidR="00D92463">
          <w:rPr>
            <w:webHidden/>
          </w:rPr>
          <w:instrText xml:space="preserve"> PAGEREF _Toc476658162 \h </w:instrText>
        </w:r>
        <w:r w:rsidR="00D92463">
          <w:rPr>
            <w:webHidden/>
          </w:rPr>
        </w:r>
        <w:r w:rsidR="00D92463">
          <w:rPr>
            <w:webHidden/>
          </w:rPr>
          <w:fldChar w:fldCharType="separate"/>
        </w:r>
        <w:r w:rsidR="002536F9">
          <w:rPr>
            <w:webHidden/>
          </w:rPr>
          <w:t>68</w:t>
        </w:r>
        <w:r w:rsidR="00D92463">
          <w:rPr>
            <w:webHidden/>
          </w:rPr>
          <w:fldChar w:fldCharType="end"/>
        </w:r>
      </w:hyperlink>
    </w:p>
    <w:p w14:paraId="023954F6" w14:textId="77777777" w:rsidR="00D92463" w:rsidRDefault="000A3679">
      <w:pPr>
        <w:pStyle w:val="TOC2"/>
        <w:rPr>
          <w:spacing w:val="0"/>
          <w:sz w:val="22"/>
          <w:szCs w:val="22"/>
        </w:rPr>
      </w:pPr>
      <w:hyperlink w:anchor="_Toc476658163" w:history="1">
        <w:r w:rsidR="00D92463" w:rsidRPr="006072D5">
          <w:rPr>
            <w:rStyle w:val="Hyperlink"/>
          </w:rPr>
          <w:t>Attachment 2: The history of the establishment of the State Administration Unit</w:t>
        </w:r>
        <w:r w:rsidR="00D92463">
          <w:rPr>
            <w:webHidden/>
          </w:rPr>
          <w:tab/>
        </w:r>
        <w:r w:rsidR="00D92463">
          <w:rPr>
            <w:webHidden/>
          </w:rPr>
          <w:fldChar w:fldCharType="begin"/>
        </w:r>
        <w:r w:rsidR="00D92463">
          <w:rPr>
            <w:webHidden/>
          </w:rPr>
          <w:instrText xml:space="preserve"> PAGEREF _Toc476658163 \h </w:instrText>
        </w:r>
        <w:r w:rsidR="00D92463">
          <w:rPr>
            <w:webHidden/>
          </w:rPr>
        </w:r>
        <w:r w:rsidR="00D92463">
          <w:rPr>
            <w:webHidden/>
          </w:rPr>
          <w:fldChar w:fldCharType="separate"/>
        </w:r>
        <w:r w:rsidR="002536F9">
          <w:rPr>
            <w:webHidden/>
          </w:rPr>
          <w:t>69</w:t>
        </w:r>
        <w:r w:rsidR="00D92463">
          <w:rPr>
            <w:webHidden/>
          </w:rPr>
          <w:fldChar w:fldCharType="end"/>
        </w:r>
      </w:hyperlink>
    </w:p>
    <w:p w14:paraId="6C7D004F" w14:textId="77777777" w:rsidR="00D92463" w:rsidRDefault="000A3679">
      <w:pPr>
        <w:pStyle w:val="TOC2"/>
        <w:rPr>
          <w:spacing w:val="0"/>
          <w:sz w:val="22"/>
          <w:szCs w:val="22"/>
        </w:rPr>
      </w:pPr>
      <w:hyperlink w:anchor="_Toc476658164" w:history="1">
        <w:r w:rsidR="00D92463" w:rsidRPr="006072D5">
          <w:rPr>
            <w:rStyle w:val="Hyperlink"/>
          </w:rPr>
          <w:t>Attachment 3: Depreciation equivalent – Asset funding sourced from provision of outputs appropriation diagram</w:t>
        </w:r>
        <w:r w:rsidR="00D92463">
          <w:rPr>
            <w:webHidden/>
          </w:rPr>
          <w:tab/>
        </w:r>
        <w:r w:rsidR="00D92463">
          <w:rPr>
            <w:webHidden/>
          </w:rPr>
          <w:fldChar w:fldCharType="begin"/>
        </w:r>
        <w:r w:rsidR="00D92463">
          <w:rPr>
            <w:webHidden/>
          </w:rPr>
          <w:instrText xml:space="preserve"> PAGEREF _Toc476658164 \h </w:instrText>
        </w:r>
        <w:r w:rsidR="00D92463">
          <w:rPr>
            <w:webHidden/>
          </w:rPr>
        </w:r>
        <w:r w:rsidR="00D92463">
          <w:rPr>
            <w:webHidden/>
          </w:rPr>
          <w:fldChar w:fldCharType="separate"/>
        </w:r>
        <w:r w:rsidR="002536F9">
          <w:rPr>
            <w:webHidden/>
          </w:rPr>
          <w:t>70</w:t>
        </w:r>
        <w:r w:rsidR="00D92463">
          <w:rPr>
            <w:webHidden/>
          </w:rPr>
          <w:fldChar w:fldCharType="end"/>
        </w:r>
      </w:hyperlink>
    </w:p>
    <w:p w14:paraId="1281D795" w14:textId="77777777" w:rsidR="00D92463" w:rsidRDefault="000A3679">
      <w:pPr>
        <w:pStyle w:val="TOC2"/>
        <w:rPr>
          <w:spacing w:val="0"/>
          <w:sz w:val="22"/>
          <w:szCs w:val="22"/>
        </w:rPr>
      </w:pPr>
      <w:hyperlink w:anchor="_Toc476658165" w:history="1">
        <w:r w:rsidR="00D92463" w:rsidRPr="006072D5">
          <w:rPr>
            <w:rStyle w:val="Hyperlink"/>
          </w:rPr>
          <w:t>Attachment 4: Pro-forma journal entries for long service leave (LSL) transactions</w:t>
        </w:r>
        <w:r w:rsidR="00D92463">
          <w:rPr>
            <w:webHidden/>
          </w:rPr>
          <w:tab/>
        </w:r>
        <w:r w:rsidR="00D92463">
          <w:rPr>
            <w:webHidden/>
          </w:rPr>
          <w:fldChar w:fldCharType="begin"/>
        </w:r>
        <w:r w:rsidR="00D92463">
          <w:rPr>
            <w:webHidden/>
          </w:rPr>
          <w:instrText xml:space="preserve"> PAGEREF _Toc476658165 \h </w:instrText>
        </w:r>
        <w:r w:rsidR="00D92463">
          <w:rPr>
            <w:webHidden/>
          </w:rPr>
        </w:r>
        <w:r w:rsidR="00D92463">
          <w:rPr>
            <w:webHidden/>
          </w:rPr>
          <w:fldChar w:fldCharType="separate"/>
        </w:r>
        <w:r w:rsidR="002536F9">
          <w:rPr>
            <w:webHidden/>
          </w:rPr>
          <w:t>71</w:t>
        </w:r>
        <w:r w:rsidR="00D92463">
          <w:rPr>
            <w:webHidden/>
          </w:rPr>
          <w:fldChar w:fldCharType="end"/>
        </w:r>
      </w:hyperlink>
    </w:p>
    <w:p w14:paraId="1A38235B" w14:textId="77777777" w:rsidR="00D92463" w:rsidRDefault="000A3679">
      <w:pPr>
        <w:pStyle w:val="TOC2"/>
        <w:rPr>
          <w:spacing w:val="0"/>
          <w:sz w:val="22"/>
          <w:szCs w:val="22"/>
        </w:rPr>
      </w:pPr>
      <w:hyperlink w:anchor="_Toc476658166" w:history="1">
        <w:r w:rsidR="00D92463" w:rsidRPr="006072D5">
          <w:rPr>
            <w:rStyle w:val="Hyperlink"/>
          </w:rPr>
          <w:t>Attachment 5: Representation of long service leave funding flows</w:t>
        </w:r>
        <w:r w:rsidR="00D92463">
          <w:rPr>
            <w:webHidden/>
          </w:rPr>
          <w:tab/>
        </w:r>
        <w:r w:rsidR="00D92463">
          <w:rPr>
            <w:webHidden/>
          </w:rPr>
          <w:fldChar w:fldCharType="begin"/>
        </w:r>
        <w:r w:rsidR="00D92463">
          <w:rPr>
            <w:webHidden/>
          </w:rPr>
          <w:instrText xml:space="preserve"> PAGEREF _Toc476658166 \h </w:instrText>
        </w:r>
        <w:r w:rsidR="00D92463">
          <w:rPr>
            <w:webHidden/>
          </w:rPr>
        </w:r>
        <w:r w:rsidR="00D92463">
          <w:rPr>
            <w:webHidden/>
          </w:rPr>
          <w:fldChar w:fldCharType="separate"/>
        </w:r>
        <w:r w:rsidR="002536F9">
          <w:rPr>
            <w:webHidden/>
          </w:rPr>
          <w:t>74</w:t>
        </w:r>
        <w:r w:rsidR="00D92463">
          <w:rPr>
            <w:webHidden/>
          </w:rPr>
          <w:fldChar w:fldCharType="end"/>
        </w:r>
      </w:hyperlink>
    </w:p>
    <w:p w14:paraId="68CE1BF9" w14:textId="77777777" w:rsidR="00FF4E99" w:rsidRDefault="00CD3D1B" w:rsidP="00D2312F">
      <w:r>
        <w:rPr>
          <w:noProof/>
          <w:color w:val="404040"/>
          <w:sz w:val="28"/>
          <w:szCs w:val="28"/>
          <w:lang w:eastAsia="en-US"/>
        </w:rPr>
        <w:fldChar w:fldCharType="end"/>
      </w:r>
    </w:p>
    <w:p w14:paraId="461419AA" w14:textId="77777777" w:rsidR="00FF4E99" w:rsidRDefault="00FF4E99" w:rsidP="00D2312F">
      <w:pPr>
        <w:sectPr w:rsidR="00FF4E99" w:rsidSect="00A63ED1">
          <w:headerReference w:type="even" r:id="rId21"/>
          <w:headerReference w:type="default" r:id="rId22"/>
          <w:footerReference w:type="even" r:id="rId23"/>
          <w:footerReference w:type="default" r:id="rId24"/>
          <w:headerReference w:type="first" r:id="rId25"/>
          <w:type w:val="oddPage"/>
          <w:pgSz w:w="11906" w:h="16838" w:code="9"/>
          <w:pgMar w:top="2160" w:right="1440" w:bottom="1440" w:left="1440" w:header="706" w:footer="461" w:gutter="0"/>
          <w:pgNumType w:fmt="lowerRoman" w:start="1"/>
          <w:cols w:space="708"/>
          <w:docGrid w:linePitch="360"/>
        </w:sectPr>
      </w:pPr>
    </w:p>
    <w:p w14:paraId="0C29726A" w14:textId="77777777" w:rsidR="00FF4E99" w:rsidRDefault="005476DA" w:rsidP="0060329E">
      <w:pPr>
        <w:pStyle w:val="Heading1"/>
      </w:pPr>
      <w:bookmarkStart w:id="1" w:name="_Toc445459707"/>
      <w:bookmarkStart w:id="2" w:name="_Toc476658072"/>
      <w:r>
        <w:lastRenderedPageBreak/>
        <w:t>Introduction</w:t>
      </w:r>
      <w:bookmarkEnd w:id="1"/>
      <w:bookmarkEnd w:id="2"/>
    </w:p>
    <w:p w14:paraId="2D171650" w14:textId="77777777" w:rsidR="005476DA" w:rsidRDefault="005476DA" w:rsidP="0060329E">
      <w:pPr>
        <w:pStyle w:val="Heading2"/>
      </w:pPr>
      <w:bookmarkStart w:id="3" w:name="_Toc445459708"/>
      <w:bookmarkStart w:id="4" w:name="_Toc476658073"/>
      <w:r>
        <w:t>Purpose</w:t>
      </w:r>
      <w:bookmarkEnd w:id="3"/>
      <w:bookmarkEnd w:id="4"/>
    </w:p>
    <w:p w14:paraId="69BFD1AD" w14:textId="77777777" w:rsidR="005476DA" w:rsidRDefault="005476DA" w:rsidP="0060329E">
      <w:r w:rsidRPr="00972714">
        <w:t>T</w:t>
      </w:r>
      <w:r>
        <w:t>he</w:t>
      </w:r>
      <w:r w:rsidRPr="00972714">
        <w:t xml:space="preserve"> </w:t>
      </w:r>
      <w:r>
        <w:t xml:space="preserve">Budget Operations Framework (BOF) serves </w:t>
      </w:r>
      <w:r w:rsidRPr="00972714">
        <w:t xml:space="preserve">to </w:t>
      </w:r>
      <w:r>
        <w:t>assist</w:t>
      </w:r>
      <w:r w:rsidRPr="00972714">
        <w:t xml:space="preserve"> Victorian </w:t>
      </w:r>
      <w:r w:rsidR="003510A7">
        <w:t xml:space="preserve">Government Departments </w:t>
      </w:r>
      <w:r>
        <w:t>in understanding and applying the financial and legislative framework that underpins budgeting and funding processes</w:t>
      </w:r>
      <w:r w:rsidRPr="00972714">
        <w:t>.</w:t>
      </w:r>
    </w:p>
    <w:p w14:paraId="7EDBD926" w14:textId="2C50A83A" w:rsidR="005476DA" w:rsidRDefault="005476DA" w:rsidP="0060329E">
      <w:r>
        <w:t>The BOF includes mandatory requirements for Departments on specific budget and funding topics. It also includes extensive guidance material.</w:t>
      </w:r>
    </w:p>
    <w:p w14:paraId="532677F2" w14:textId="77777777" w:rsidR="005476DA" w:rsidRDefault="005476DA" w:rsidP="0060329E">
      <w:pPr>
        <w:pStyle w:val="Heading2"/>
      </w:pPr>
      <w:bookmarkStart w:id="5" w:name="_Toc445459709"/>
      <w:bookmarkStart w:id="6" w:name="_Toc476658074"/>
      <w:r>
        <w:t>Legal status</w:t>
      </w:r>
      <w:bookmarkEnd w:id="5"/>
      <w:bookmarkEnd w:id="6"/>
    </w:p>
    <w:p w14:paraId="05D4638C" w14:textId="77777777" w:rsidR="005476DA" w:rsidRDefault="005476DA" w:rsidP="0060329E">
      <w:r>
        <w:t xml:space="preserve">The BOF is issued by the Deputy Secretary, Budget and Finance Division at the Department of Treasury and Finance (DTF), and mandated for Departments by direction of the Minister for Finance in the </w:t>
      </w:r>
      <w:r w:rsidRPr="007C5620">
        <w:rPr>
          <w:i/>
        </w:rPr>
        <w:t>Standing Directions of the Minister for Finance 2016</w:t>
      </w:r>
      <w:r>
        <w:t xml:space="preserve"> (Standing Directions)</w:t>
      </w:r>
      <w:r>
        <w:rPr>
          <w:rStyle w:val="FootnoteReference"/>
        </w:rPr>
        <w:footnoteReference w:id="1"/>
      </w:r>
      <w:r>
        <w:t xml:space="preserve">. </w:t>
      </w:r>
    </w:p>
    <w:p w14:paraId="3FFBA32A" w14:textId="45176789" w:rsidR="005476DA" w:rsidRDefault="005476DA" w:rsidP="0060329E">
      <w:r>
        <w:t xml:space="preserve">The following diagram illustrates </w:t>
      </w:r>
      <w:r w:rsidR="00151237">
        <w:t>how</w:t>
      </w:r>
      <w:r>
        <w:t xml:space="preserve"> the BOF fits into the broader financial management framework for Victorian public sector agencies:</w:t>
      </w:r>
    </w:p>
    <w:p w14:paraId="33AF49AA" w14:textId="77777777" w:rsidR="000E2696" w:rsidRPr="000E2696" w:rsidRDefault="000E2696" w:rsidP="000E2696">
      <w:pPr>
        <w:pStyle w:val="Caption"/>
        <w:rPr>
          <w:rFonts w:eastAsiaTheme="minorHAnsi"/>
        </w:rPr>
      </w:pPr>
      <w:r w:rsidRPr="00EE1A45">
        <w:t xml:space="preserve">Figure </w:t>
      </w:r>
      <w:fldSimple w:instr=" SEQ Figure \* ARABIC ">
        <w:r w:rsidR="002536F9">
          <w:rPr>
            <w:noProof/>
          </w:rPr>
          <w:t>1</w:t>
        </w:r>
      </w:fldSimple>
      <w:r w:rsidRPr="00EE1A45">
        <w:t xml:space="preserve">: The Budget Operations Framework within </w:t>
      </w:r>
      <w:r w:rsidRPr="005476DA">
        <w:t>Victoria's</w:t>
      </w:r>
      <w:r w:rsidRPr="00EE1A45">
        <w:t xml:space="preserve"> Financial Management Framework</w:t>
      </w:r>
    </w:p>
    <w:p w14:paraId="66A9DC91" w14:textId="77777777" w:rsidR="005476DA" w:rsidRDefault="000E2696" w:rsidP="000E2696">
      <w:pPr>
        <w:pStyle w:val="NormalIndent"/>
      </w:pPr>
      <w:r>
        <w:rPr>
          <w:noProof/>
        </w:rPr>
        <mc:AlternateContent>
          <mc:Choice Requires="wpg">
            <w:drawing>
              <wp:inline distT="0" distB="0" distL="0" distR="0" wp14:anchorId="7ECD870F" wp14:editId="2DC34615">
                <wp:extent cx="5084064" cy="3127248"/>
                <wp:effectExtent l="0" t="0" r="2540" b="0"/>
                <wp:docPr id="31" name="Group 31"/>
                <wp:cNvGraphicFramePr/>
                <a:graphic xmlns:a="http://schemas.openxmlformats.org/drawingml/2006/main">
                  <a:graphicData uri="http://schemas.microsoft.com/office/word/2010/wordprocessingGroup">
                    <wpg:wgp>
                      <wpg:cNvGrpSpPr/>
                      <wpg:grpSpPr>
                        <a:xfrm>
                          <a:off x="0" y="0"/>
                          <a:ext cx="5084064" cy="3127248"/>
                          <a:chOff x="0" y="0"/>
                          <a:chExt cx="5084422" cy="3130343"/>
                        </a:xfrm>
                      </wpg:grpSpPr>
                      <wps:wsp>
                        <wps:cNvPr id="29" name="Rectangle 28"/>
                        <wps:cNvSpPr/>
                        <wps:spPr>
                          <a:xfrm>
                            <a:off x="0" y="0"/>
                            <a:ext cx="5084422" cy="3130343"/>
                          </a:xfrm>
                          <a:prstGeom prst="rect">
                            <a:avLst/>
                          </a:prstGeom>
                          <a:solidFill>
                            <a:schemeClr val="accent1"/>
                          </a:solidFill>
                          <a:ln>
                            <a:noFill/>
                          </a:ln>
                          <a:effectLst/>
                        </wps:spPr>
                        <wps:style>
                          <a:lnRef idx="1">
                            <a:schemeClr val="accent2"/>
                          </a:lnRef>
                          <a:fillRef idx="2">
                            <a:schemeClr val="accent2"/>
                          </a:fillRef>
                          <a:effectRef idx="1">
                            <a:schemeClr val="accent2"/>
                          </a:effectRef>
                          <a:fontRef idx="minor">
                            <a:schemeClr val="dk1"/>
                          </a:fontRef>
                        </wps:style>
                        <wps:bodyPr rtlCol="0" anchor="ctr"/>
                      </wps:wsp>
                      <wps:wsp>
                        <wps:cNvPr id="12" name="Rectangle 11"/>
                        <wps:cNvSpPr/>
                        <wps:spPr>
                          <a:xfrm>
                            <a:off x="3450567" y="2286000"/>
                            <a:ext cx="1376536" cy="633550"/>
                          </a:xfrm>
                          <a:prstGeom prst="rect">
                            <a:avLst/>
                          </a:prstGeom>
                          <a:solidFill>
                            <a:schemeClr val="accent3">
                              <a:lumMod val="20000"/>
                              <a:lumOff val="80000"/>
                            </a:schemeClr>
                          </a:solidFill>
                          <a:ln>
                            <a:noFill/>
                          </a:ln>
                          <a:effectLst/>
                        </wps:spPr>
                        <wps:style>
                          <a:lnRef idx="1">
                            <a:schemeClr val="accent2"/>
                          </a:lnRef>
                          <a:fillRef idx="2">
                            <a:schemeClr val="accent2"/>
                          </a:fillRef>
                          <a:effectRef idx="1">
                            <a:schemeClr val="accent2"/>
                          </a:effectRef>
                          <a:fontRef idx="minor">
                            <a:schemeClr val="dk1"/>
                          </a:fontRef>
                        </wps:style>
                        <wps:txbx>
                          <w:txbxContent>
                            <w:p w14:paraId="16D55AD5" w14:textId="77777777" w:rsidR="002536F9" w:rsidRDefault="002536F9" w:rsidP="000E2696">
                              <w:pPr>
                                <w:pStyle w:val="NormalWeb"/>
                                <w:spacing w:before="0" w:beforeAutospacing="0" w:after="0" w:afterAutospacing="0"/>
                                <w:jc w:val="center"/>
                              </w:pPr>
                              <w:r>
                                <w:rPr>
                                  <w:rFonts w:asciiTheme="minorHAnsi" w:hAnsi="Arial" w:cstheme="minorBidi"/>
                                  <w:color w:val="000000" w:themeColor="dark1"/>
                                  <w:kern w:val="24"/>
                                  <w:sz w:val="20"/>
                                  <w:szCs w:val="20"/>
                                </w:rPr>
                                <w:t>Performance Management Framework</w:t>
                              </w:r>
                            </w:p>
                          </w:txbxContent>
                        </wps:txbx>
                        <wps:bodyPr rtlCol="0" anchor="ctr"/>
                      </wps:wsp>
                      <wps:wsp>
                        <wps:cNvPr id="15" name="Rectangle 14"/>
                        <wps:cNvSpPr/>
                        <wps:spPr>
                          <a:xfrm>
                            <a:off x="448574" y="1181819"/>
                            <a:ext cx="1800000" cy="569342"/>
                          </a:xfrm>
                          <a:prstGeom prst="rect">
                            <a:avLst/>
                          </a:prstGeom>
                          <a:solidFill>
                            <a:schemeClr val="accent3">
                              <a:lumMod val="20000"/>
                              <a:lumOff val="80000"/>
                            </a:schemeClr>
                          </a:solidFill>
                          <a:ln>
                            <a:noFill/>
                          </a:ln>
                          <a:effectLst/>
                        </wps:spPr>
                        <wps:style>
                          <a:lnRef idx="1">
                            <a:schemeClr val="accent2"/>
                          </a:lnRef>
                          <a:fillRef idx="2">
                            <a:schemeClr val="accent2"/>
                          </a:fillRef>
                          <a:effectRef idx="1">
                            <a:schemeClr val="accent2"/>
                          </a:effectRef>
                          <a:fontRef idx="minor">
                            <a:schemeClr val="dk1"/>
                          </a:fontRef>
                        </wps:style>
                        <wps:txbx>
                          <w:txbxContent>
                            <w:p w14:paraId="2FB74FB6" w14:textId="77777777" w:rsidR="002536F9" w:rsidRDefault="002536F9" w:rsidP="000E2696">
                              <w:pPr>
                                <w:pStyle w:val="NormalWeb"/>
                                <w:spacing w:before="0" w:beforeAutospacing="0" w:after="0" w:afterAutospacing="0"/>
                                <w:jc w:val="center"/>
                              </w:pPr>
                              <w:r>
                                <w:rPr>
                                  <w:rFonts w:asciiTheme="minorHAnsi" w:hAnsi="Arial" w:cstheme="minorBidi"/>
                                  <w:color w:val="000000" w:themeColor="dark1"/>
                                  <w:kern w:val="24"/>
                                </w:rPr>
                                <w:t xml:space="preserve">Standing Directions </w:t>
                              </w:r>
                            </w:p>
                            <w:p w14:paraId="2679CD60" w14:textId="77777777" w:rsidR="002536F9" w:rsidRDefault="002536F9" w:rsidP="000E2696">
                              <w:pPr>
                                <w:pStyle w:val="NormalWeb"/>
                                <w:spacing w:before="0" w:beforeAutospacing="0" w:after="0" w:afterAutospacing="0"/>
                                <w:jc w:val="center"/>
                              </w:pPr>
                              <w:r>
                                <w:rPr>
                                  <w:rFonts w:asciiTheme="minorHAnsi" w:hAnsi="Arial" w:cstheme="minorBidi"/>
                                  <w:color w:val="000000" w:themeColor="dark1"/>
                                  <w:kern w:val="24"/>
                                </w:rPr>
                                <w:t>(FMA s8)</w:t>
                              </w:r>
                            </w:p>
                          </w:txbxContent>
                        </wps:txbx>
                        <wps:bodyPr rtlCol="0" anchor="ctr" anchorCtr="0"/>
                      </wps:wsp>
                      <wps:wsp>
                        <wps:cNvPr id="16" name="Rectangle 15"/>
                        <wps:cNvSpPr/>
                        <wps:spPr>
                          <a:xfrm>
                            <a:off x="1224951" y="129397"/>
                            <a:ext cx="2634133" cy="432048"/>
                          </a:xfrm>
                          <a:prstGeom prst="rect">
                            <a:avLst/>
                          </a:prstGeom>
                          <a:solidFill>
                            <a:schemeClr val="accent3">
                              <a:lumMod val="20000"/>
                              <a:lumOff val="80000"/>
                            </a:schemeClr>
                          </a:solidFill>
                          <a:ln>
                            <a:noFill/>
                          </a:ln>
                          <a:effectLst/>
                        </wps:spPr>
                        <wps:style>
                          <a:lnRef idx="1">
                            <a:schemeClr val="accent2"/>
                          </a:lnRef>
                          <a:fillRef idx="2">
                            <a:schemeClr val="accent2"/>
                          </a:fillRef>
                          <a:effectRef idx="1">
                            <a:schemeClr val="accent2"/>
                          </a:effectRef>
                          <a:fontRef idx="minor">
                            <a:schemeClr val="dk1"/>
                          </a:fontRef>
                        </wps:style>
                        <wps:txbx>
                          <w:txbxContent>
                            <w:p w14:paraId="12873F63" w14:textId="77777777" w:rsidR="002536F9" w:rsidRDefault="002536F9" w:rsidP="000E2696">
                              <w:pPr>
                                <w:pStyle w:val="NormalWeb"/>
                                <w:spacing w:before="0" w:beforeAutospacing="0" w:after="0" w:afterAutospacing="0"/>
                                <w:jc w:val="center"/>
                              </w:pPr>
                              <w:r>
                                <w:rPr>
                                  <w:rFonts w:asciiTheme="minorHAnsi" w:hAnsi="Arial" w:cstheme="minorBidi"/>
                                  <w:i/>
                                  <w:iCs/>
                                  <w:color w:val="000000" w:themeColor="dark1"/>
                                  <w:kern w:val="24"/>
                                </w:rPr>
                                <w:t>Financial Management Act 1994</w:t>
                              </w:r>
                            </w:p>
                          </w:txbxContent>
                        </wps:txbx>
                        <wps:bodyPr rtlCol="0" anchor="ctr"/>
                      </wps:wsp>
                      <wps:wsp>
                        <wps:cNvPr id="20" name="Rectangle 17"/>
                        <wps:cNvSpPr/>
                        <wps:spPr>
                          <a:xfrm>
                            <a:off x="2829465" y="1181819"/>
                            <a:ext cx="1800200" cy="569342"/>
                          </a:xfrm>
                          <a:prstGeom prst="rect">
                            <a:avLst/>
                          </a:prstGeom>
                          <a:solidFill>
                            <a:schemeClr val="accent3">
                              <a:lumMod val="20000"/>
                              <a:lumOff val="80000"/>
                            </a:schemeClr>
                          </a:solidFill>
                          <a:ln>
                            <a:noFill/>
                          </a:ln>
                          <a:effectLst/>
                        </wps:spPr>
                        <wps:style>
                          <a:lnRef idx="1">
                            <a:schemeClr val="accent2"/>
                          </a:lnRef>
                          <a:fillRef idx="2">
                            <a:schemeClr val="accent2"/>
                          </a:fillRef>
                          <a:effectRef idx="1">
                            <a:schemeClr val="accent2"/>
                          </a:effectRef>
                          <a:fontRef idx="minor">
                            <a:schemeClr val="dk1"/>
                          </a:fontRef>
                        </wps:style>
                        <wps:txbx>
                          <w:txbxContent>
                            <w:p w14:paraId="70FB6EB9" w14:textId="77777777" w:rsidR="002536F9" w:rsidRDefault="002536F9" w:rsidP="000E2696">
                              <w:pPr>
                                <w:pStyle w:val="NormalWeb"/>
                                <w:spacing w:before="0" w:beforeAutospacing="0" w:after="0" w:afterAutospacing="0"/>
                                <w:jc w:val="center"/>
                              </w:pPr>
                              <w:r>
                                <w:rPr>
                                  <w:rFonts w:asciiTheme="minorHAnsi" w:hAnsi="Arial" w:cstheme="minorBidi"/>
                                  <w:color w:val="000000" w:themeColor="dark1"/>
                                  <w:kern w:val="24"/>
                                </w:rPr>
                                <w:t>Financial Reporting Directions (FMA s8)</w:t>
                              </w:r>
                            </w:p>
                          </w:txbxContent>
                        </wps:txbx>
                        <wps:bodyPr rtlCol="0" anchor="ctr" anchorCtr="0"/>
                      </wps:wsp>
                      <wps:wsp>
                        <wps:cNvPr id="22" name="Elbow Connector 18"/>
                        <wps:cNvCnPr/>
                        <wps:spPr>
                          <a:xfrm rot="16200000" flipH="1">
                            <a:off x="2820839" y="276045"/>
                            <a:ext cx="621216" cy="1191010"/>
                          </a:xfrm>
                          <a:prstGeom prst="bentConnector3">
                            <a:avLst>
                              <a:gd name="adj1" fmla="val 50000"/>
                            </a:avLst>
                          </a:prstGeom>
                          <a:ln>
                            <a:solidFill>
                              <a:schemeClr val="bg1"/>
                            </a:solidFill>
                            <a:tailEnd type="stealth" w="med" len="med"/>
                          </a:ln>
                          <a:effectLst/>
                        </wps:spPr>
                        <wps:style>
                          <a:lnRef idx="1">
                            <a:schemeClr val="accent1"/>
                          </a:lnRef>
                          <a:fillRef idx="0">
                            <a:schemeClr val="accent1"/>
                          </a:fillRef>
                          <a:effectRef idx="0">
                            <a:schemeClr val="accent1"/>
                          </a:effectRef>
                          <a:fontRef idx="minor">
                            <a:schemeClr val="tx1"/>
                          </a:fontRef>
                        </wps:style>
                        <wps:bodyPr/>
                      </wps:wsp>
                      <wps:wsp>
                        <wps:cNvPr id="23" name="Elbow Connector 19"/>
                        <wps:cNvCnPr/>
                        <wps:spPr>
                          <a:xfrm rot="5400000">
                            <a:off x="1630393" y="276045"/>
                            <a:ext cx="621216" cy="1189555"/>
                          </a:xfrm>
                          <a:prstGeom prst="bentConnector3">
                            <a:avLst/>
                          </a:prstGeom>
                          <a:ln>
                            <a:solidFill>
                              <a:schemeClr val="bg1"/>
                            </a:solidFill>
                            <a:tailEnd type="stealth" w="med" len="med"/>
                          </a:ln>
                          <a:effectLst/>
                        </wps:spPr>
                        <wps:style>
                          <a:lnRef idx="1">
                            <a:schemeClr val="accent1"/>
                          </a:lnRef>
                          <a:fillRef idx="0">
                            <a:schemeClr val="accent1"/>
                          </a:fillRef>
                          <a:effectRef idx="0">
                            <a:schemeClr val="accent1"/>
                          </a:effectRef>
                          <a:fontRef idx="minor">
                            <a:schemeClr val="tx1"/>
                          </a:fontRef>
                        </wps:style>
                        <wps:bodyPr/>
                      </wps:wsp>
                      <wps:wsp>
                        <wps:cNvPr id="24" name="Rectangle 22"/>
                        <wps:cNvSpPr/>
                        <wps:spPr>
                          <a:xfrm>
                            <a:off x="1915065" y="2286000"/>
                            <a:ext cx="1237177" cy="633550"/>
                          </a:xfrm>
                          <a:prstGeom prst="rect">
                            <a:avLst/>
                          </a:prstGeom>
                          <a:solidFill>
                            <a:schemeClr val="accent6">
                              <a:lumMod val="20000"/>
                              <a:lumOff val="80000"/>
                            </a:schemeClr>
                          </a:solidFill>
                          <a:ln>
                            <a:noFill/>
                          </a:ln>
                          <a:effectLst/>
                        </wps:spPr>
                        <wps:style>
                          <a:lnRef idx="1">
                            <a:schemeClr val="accent2"/>
                          </a:lnRef>
                          <a:fillRef idx="2">
                            <a:schemeClr val="accent2"/>
                          </a:fillRef>
                          <a:effectRef idx="1">
                            <a:schemeClr val="accent2"/>
                          </a:effectRef>
                          <a:fontRef idx="minor">
                            <a:schemeClr val="dk1"/>
                          </a:fontRef>
                        </wps:style>
                        <wps:txbx>
                          <w:txbxContent>
                            <w:p w14:paraId="6CE036BF" w14:textId="77777777" w:rsidR="002536F9" w:rsidRDefault="002536F9" w:rsidP="000E2696">
                              <w:pPr>
                                <w:pStyle w:val="NormalWeb"/>
                                <w:spacing w:before="0" w:beforeAutospacing="0" w:after="0" w:afterAutospacing="0"/>
                                <w:jc w:val="center"/>
                              </w:pPr>
                              <w:r>
                                <w:rPr>
                                  <w:rFonts w:asciiTheme="minorHAnsi" w:hAnsi="Arial" w:cstheme="minorBidi"/>
                                  <w:color w:val="000000" w:themeColor="dark1"/>
                                  <w:kern w:val="24"/>
                                  <w:sz w:val="20"/>
                                  <w:szCs w:val="20"/>
                                </w:rPr>
                                <w:t>Budget Operations Framework</w:t>
                              </w:r>
                            </w:p>
                          </w:txbxContent>
                        </wps:txbx>
                        <wps:bodyPr rtlCol="0" anchor="ctr" anchorCtr="0"/>
                      </wps:wsp>
                      <wps:wsp>
                        <wps:cNvPr id="26" name="Rectangle 23"/>
                        <wps:cNvSpPr/>
                        <wps:spPr>
                          <a:xfrm>
                            <a:off x="250167" y="2286000"/>
                            <a:ext cx="1376536" cy="633550"/>
                          </a:xfrm>
                          <a:prstGeom prst="rect">
                            <a:avLst/>
                          </a:prstGeom>
                          <a:solidFill>
                            <a:schemeClr val="accent3">
                              <a:lumMod val="20000"/>
                              <a:lumOff val="80000"/>
                            </a:schemeClr>
                          </a:solidFill>
                          <a:ln>
                            <a:noFill/>
                          </a:ln>
                          <a:effectLst/>
                        </wps:spPr>
                        <wps:style>
                          <a:lnRef idx="1">
                            <a:schemeClr val="accent2"/>
                          </a:lnRef>
                          <a:fillRef idx="2">
                            <a:schemeClr val="accent2"/>
                          </a:fillRef>
                          <a:effectRef idx="1">
                            <a:schemeClr val="accent2"/>
                          </a:effectRef>
                          <a:fontRef idx="minor">
                            <a:schemeClr val="dk1"/>
                          </a:fontRef>
                        </wps:style>
                        <wps:txbx>
                          <w:txbxContent>
                            <w:p w14:paraId="74012465" w14:textId="77777777" w:rsidR="002536F9" w:rsidRDefault="002536F9" w:rsidP="000E2696">
                              <w:pPr>
                                <w:pStyle w:val="NormalWeb"/>
                                <w:spacing w:before="0" w:beforeAutospacing="0" w:after="0" w:afterAutospacing="0"/>
                                <w:jc w:val="center"/>
                              </w:pPr>
                              <w:r>
                                <w:rPr>
                                  <w:rFonts w:asciiTheme="minorHAnsi" w:hAnsi="Arial" w:cstheme="minorBidi"/>
                                  <w:color w:val="000000" w:themeColor="dark1"/>
                                  <w:kern w:val="24"/>
                                  <w:sz w:val="20"/>
                                  <w:szCs w:val="20"/>
                                </w:rPr>
                                <w:t>Financial Reporting Operations Framework</w:t>
                              </w:r>
                            </w:p>
                          </w:txbxContent>
                        </wps:txbx>
                        <wps:bodyPr rtlCol="0" anchor="ctr" anchorCtr="0"/>
                      </wps:wsp>
                      <wps:wsp>
                        <wps:cNvPr id="25" name="Elbow Connector 24"/>
                        <wps:cNvCnPr/>
                        <wps:spPr>
                          <a:xfrm rot="16200000" flipH="1">
                            <a:off x="1673525" y="1414732"/>
                            <a:ext cx="535160" cy="1188504"/>
                          </a:xfrm>
                          <a:prstGeom prst="bentConnector3">
                            <a:avLst>
                              <a:gd name="adj1" fmla="val 50000"/>
                            </a:avLst>
                          </a:prstGeom>
                          <a:ln>
                            <a:solidFill>
                              <a:schemeClr val="bg1"/>
                            </a:solidFill>
                            <a:tailEnd type="stealth" w="med" len="med"/>
                          </a:ln>
                          <a:effectLst/>
                        </wps:spPr>
                        <wps:style>
                          <a:lnRef idx="1">
                            <a:schemeClr val="accent1"/>
                          </a:lnRef>
                          <a:fillRef idx="0">
                            <a:schemeClr val="accent1"/>
                          </a:fillRef>
                          <a:effectRef idx="0">
                            <a:schemeClr val="accent1"/>
                          </a:effectRef>
                          <a:fontRef idx="minor">
                            <a:schemeClr val="tx1"/>
                          </a:fontRef>
                        </wps:style>
                        <wps:bodyPr/>
                      </wps:wsp>
                      <wps:wsp>
                        <wps:cNvPr id="27" name="Elbow Connector 25"/>
                        <wps:cNvCnPr/>
                        <wps:spPr>
                          <a:xfrm rot="5400000">
                            <a:off x="871268" y="1811548"/>
                            <a:ext cx="535160" cy="411334"/>
                          </a:xfrm>
                          <a:prstGeom prst="bentConnector3">
                            <a:avLst>
                              <a:gd name="adj1" fmla="val 50000"/>
                            </a:avLst>
                          </a:prstGeom>
                          <a:ln>
                            <a:solidFill>
                              <a:schemeClr val="bg1"/>
                            </a:solidFill>
                            <a:tailEnd type="stealth" w="med" len="med"/>
                          </a:ln>
                          <a:effectLst/>
                        </wps:spPr>
                        <wps:style>
                          <a:lnRef idx="1">
                            <a:schemeClr val="accent1"/>
                          </a:lnRef>
                          <a:fillRef idx="0">
                            <a:schemeClr val="accent1"/>
                          </a:fillRef>
                          <a:effectRef idx="0">
                            <a:schemeClr val="accent1"/>
                          </a:effectRef>
                          <a:fontRef idx="minor">
                            <a:schemeClr val="tx1"/>
                          </a:fontRef>
                        </wps:style>
                        <wps:bodyPr/>
                      </wps:wsp>
                      <wps:wsp>
                        <wps:cNvPr id="30" name="Elbow Connector 26"/>
                        <wps:cNvCnPr/>
                        <wps:spPr>
                          <a:xfrm rot="16200000" flipH="1">
                            <a:off x="2475782" y="612475"/>
                            <a:ext cx="535160" cy="2788340"/>
                          </a:xfrm>
                          <a:prstGeom prst="bentConnector3">
                            <a:avLst>
                              <a:gd name="adj1" fmla="val 50000"/>
                            </a:avLst>
                          </a:prstGeom>
                          <a:ln>
                            <a:solidFill>
                              <a:schemeClr val="bg1"/>
                            </a:solidFill>
                            <a:tailEnd type="stealth" w="med" len="med"/>
                          </a:ln>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31" o:spid="_x0000_s1026" style="width:400.3pt;height:246.25pt;mso-position-horizontal-relative:char;mso-position-vertical-relative:line" coordsize="50844,3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">
                <v:rect id="Rectangle 28" o:spid="_x0000_s1027" style="position:absolute;width:50844;height:31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fBcEA&#10;AADbAAAADwAAAGRycy9kb3ducmV2LnhtbESP0YrCMBRE3wX/IVxh3zS1LKLVKCIq66PWD7g217bY&#10;3NQm1u7fG0HwcZiZM8xi1ZlKtNS40rKC8SgCQZxZXXKu4JzuhlMQziNrrCyTgn9ysFr2ewtMtH3y&#10;kdqTz0WAsEtQQeF9nUjpsoIMupGtiYN3tY1BH2STS93gM8BNJeMomkiDJYeFAmvaFJTdTg+jgH/z&#10;aXpvo7jbXyb73SE+r6/3rVI/g249B+Gp89/wp/2nFcQz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cnwXBAAAA2wAAAA8AAAAAAAAAAAAAAAAAmAIAAGRycy9kb3du&#10;cmV2LnhtbFBLBQYAAAAABAAEAPUAAACGAwAAAAA=&#10;" fillcolor="#0063a6 [3204]" stroked="f"/>
                <v:rect id="Rectangle 11" o:spid="_x0000_s1028" style="position:absolute;left:34505;top:22860;width:13766;height:6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Em78A&#10;AADbAAAADwAAAGRycy9kb3ducmV2LnhtbERPS4vCMBC+L/gfwgheFk0UEa1GEWGhRx972OPQjG2x&#10;mZQk2q6/3ggLe5uP7zmbXW8b8SAfascaphMFgrhwpuZSw/fla7wEESKywcYxafilALvt4GODmXEd&#10;n+hxjqVIIRwy1FDF2GZShqIii2HiWuLEXZ23GBP0pTQeuxRuGzlTaiEt1pwaKmzpUFFxO9+thifW&#10;B5+r/IeD+jzOeVXe59RpPRr2+zWISH38F/+5c5Pmz+D9SzpAb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1oSbvwAAANsAAAAPAAAAAAAAAAAAAAAAAJgCAABkcnMvZG93bnJl&#10;di54bWxQSwUGAAAAAAQABAD1AAAAhAMAAAAA&#10;" fillcolor="#e3ebf4 [662]" stroked="f">
                  <v:textbox>
                    <w:txbxContent>
                      <w:p w14:paraId="16D55AD5" w14:textId="77777777" w:rsidR="002536F9" w:rsidRDefault="002536F9" w:rsidP="000E2696">
                        <w:pPr>
                          <w:pStyle w:val="NormalWeb"/>
                          <w:spacing w:before="0" w:beforeAutospacing="0" w:after="0" w:afterAutospacing="0"/>
                          <w:jc w:val="center"/>
                        </w:pPr>
                        <w:r>
                          <w:rPr>
                            <w:rFonts w:asciiTheme="minorHAnsi" w:hAnsi="Arial" w:cstheme="minorBidi"/>
                            <w:color w:val="000000" w:themeColor="dark1"/>
                            <w:kern w:val="24"/>
                            <w:sz w:val="20"/>
                            <w:szCs w:val="20"/>
                          </w:rPr>
                          <w:t>Performance Management Framework</w:t>
                        </w:r>
                      </w:p>
                    </w:txbxContent>
                  </v:textbox>
                </v:rect>
                <v:rect id="Rectangle 14" o:spid="_x0000_s1029" style="position:absolute;left:4485;top:11818;width:18000;height:5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8c78AA&#10;AADbAAAADwAAAGRycy9kb3ducmV2LnhtbERPTWvCQBC9C/6HZYRepO4qKjV1DSIIOba2B49DdkxC&#10;s7Nhd2PS/vpuoeBtHu9z9vloW3EnHxrHGpYLBYK4dKbhSsPnx/n5BUSIyAZbx6ThmwLkh+lkj5lx&#10;A7/T/RIrkUI4ZKihjrHLpAxlTRbDwnXEibs5bzEm6CtpPA4p3LZypdRWWmw4NdTY0amm8uvSWw0/&#10;2Jx8oYorBzV/W/Ou6tc0aP00G4+vICKN8SH+dxcmzd/A3y/p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8c78AAAADbAAAADwAAAAAAAAAAAAAAAACYAgAAZHJzL2Rvd25y&#10;ZXYueG1sUEsFBgAAAAAEAAQA9QAAAIUDAAAAAA==&#10;" fillcolor="#e3ebf4 [662]" stroked="f">
                  <v:textbox>
                    <w:txbxContent>
                      <w:p w14:paraId="2FB74FB6" w14:textId="77777777" w:rsidR="002536F9" w:rsidRDefault="002536F9" w:rsidP="000E2696">
                        <w:pPr>
                          <w:pStyle w:val="NormalWeb"/>
                          <w:spacing w:before="0" w:beforeAutospacing="0" w:after="0" w:afterAutospacing="0"/>
                          <w:jc w:val="center"/>
                        </w:pPr>
                        <w:r>
                          <w:rPr>
                            <w:rFonts w:asciiTheme="minorHAnsi" w:hAnsi="Arial" w:cstheme="minorBidi"/>
                            <w:color w:val="000000" w:themeColor="dark1"/>
                            <w:kern w:val="24"/>
                          </w:rPr>
                          <w:t xml:space="preserve">Standing Directions </w:t>
                        </w:r>
                      </w:p>
                      <w:p w14:paraId="2679CD60" w14:textId="77777777" w:rsidR="002536F9" w:rsidRDefault="002536F9" w:rsidP="000E2696">
                        <w:pPr>
                          <w:pStyle w:val="NormalWeb"/>
                          <w:spacing w:before="0" w:beforeAutospacing="0" w:after="0" w:afterAutospacing="0"/>
                          <w:jc w:val="center"/>
                        </w:pPr>
                        <w:r>
                          <w:rPr>
                            <w:rFonts w:asciiTheme="minorHAnsi" w:hAnsi="Arial" w:cstheme="minorBidi"/>
                            <w:color w:val="000000" w:themeColor="dark1"/>
                            <w:kern w:val="24"/>
                          </w:rPr>
                          <w:t>(FMA s8)</w:t>
                        </w:r>
                      </w:p>
                    </w:txbxContent>
                  </v:textbox>
                </v:rect>
                <v:rect id="Rectangle 15" o:spid="_x0000_s1030" style="position:absolute;left:12249;top:1293;width:26341;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CmL8A&#10;AADbAAAADwAAAGRycy9kb3ducmV2LnhtbERPTYvCMBC9L/gfwgheFk0UEa1GEWGhx9X14HFoxrbY&#10;TEoSbddfbxaEvc3jfc5m19tGPMiH2rGG6USBIC6cqbnUcP75Gi9BhIhssHFMGn4pwG47+NhgZlzH&#10;R3qcYilSCIcMNVQxtpmUoajIYpi4ljhxV+ctxgR9KY3HLoXbRs6UWkiLNaeGCls6VFTcTner4Yn1&#10;wecqv3BQn99zXpX3OXVaj4b9fg0iUh//xW93btL8Bfz9kg6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7YKYvwAAANsAAAAPAAAAAAAAAAAAAAAAAJgCAABkcnMvZG93bnJl&#10;di54bWxQSwUGAAAAAAQABAD1AAAAhAMAAAAA&#10;" fillcolor="#e3ebf4 [662]" stroked="f">
                  <v:textbox>
                    <w:txbxContent>
                      <w:p w14:paraId="12873F63" w14:textId="77777777" w:rsidR="002536F9" w:rsidRDefault="002536F9" w:rsidP="000E2696">
                        <w:pPr>
                          <w:pStyle w:val="NormalWeb"/>
                          <w:spacing w:before="0" w:beforeAutospacing="0" w:after="0" w:afterAutospacing="0"/>
                          <w:jc w:val="center"/>
                        </w:pPr>
                        <w:r>
                          <w:rPr>
                            <w:rFonts w:asciiTheme="minorHAnsi" w:hAnsi="Arial" w:cstheme="minorBidi"/>
                            <w:i/>
                            <w:iCs/>
                            <w:color w:val="000000" w:themeColor="dark1"/>
                            <w:kern w:val="24"/>
                          </w:rPr>
                          <w:t>Financial Management Act 1994</w:t>
                        </w:r>
                      </w:p>
                    </w:txbxContent>
                  </v:textbox>
                </v:rect>
                <v:rect id="Rectangle 17" o:spid="_x0000_s1031" style="position:absolute;left:28294;top:11818;width:18002;height:5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1yr8A&#10;AADbAAAADwAAAGRycy9kb3ducmV2LnhtbERPz2vCMBS+D/wfwhvsMjSZyNDatIgw6HFzHjw+mmdb&#10;1ryUJLWdf705DHb8+H7n5Wx7cSMfOsca3lYKBHHtTMeNhvP3x3ILIkRkg71j0vBLAcpi8ZRjZtzE&#10;X3Q7xUakEA4ZamhjHDIpQ92SxbByA3Hirs5bjAn6RhqPUwq3vVwr9S4tdpwaWhzo2FL9cxqthjt2&#10;R1+p6sJBvX5ueNeMG5q0fnmeD3sQkeb4L/5zV0bDOq1PX9IPk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JHXKvwAAANsAAAAPAAAAAAAAAAAAAAAAAJgCAABkcnMvZG93bnJl&#10;di54bWxQSwUGAAAAAAQABAD1AAAAhAMAAAAA&#10;" fillcolor="#e3ebf4 [662]" stroked="f">
                  <v:textbox>
                    <w:txbxContent>
                      <w:p w14:paraId="70FB6EB9" w14:textId="77777777" w:rsidR="002536F9" w:rsidRDefault="002536F9" w:rsidP="000E2696">
                        <w:pPr>
                          <w:pStyle w:val="NormalWeb"/>
                          <w:spacing w:before="0" w:beforeAutospacing="0" w:after="0" w:afterAutospacing="0"/>
                          <w:jc w:val="center"/>
                        </w:pPr>
                        <w:r>
                          <w:rPr>
                            <w:rFonts w:asciiTheme="minorHAnsi" w:hAnsi="Arial" w:cstheme="minorBidi"/>
                            <w:color w:val="000000" w:themeColor="dark1"/>
                            <w:kern w:val="24"/>
                          </w:rPr>
                          <w:t>Financial Reporting Directions (FMA s8)</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32" type="#_x0000_t34" style="position:absolute;left:28208;top:2760;width:6212;height:119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tfcMQAAADbAAAADwAAAGRycy9kb3ducmV2LnhtbESPQUvDQBSE74L/YXmCN7sxBy2xmyIF&#10;wUKhNSri7ZF9yQazb2P2tU3+vSsIHoeZ+YZZrSffqxONsQts4HaRgSKug+24NfD2+nSzBBUF2WIf&#10;mAzMFGFdXl6ssLDhzC90qqRVCcKxQANOZCi0jrUjj3ERBuLkNWH0KEmOrbYjnhPc9zrPsjvtseO0&#10;4HCgjaP6qzp6A/vhe/ux22Wz4PvhvtksK/cpszHXV9PjAyihSf7Df+1nayDP4fdL+gG6/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19wxAAAANsAAAAPAAAAAAAAAAAA&#10;AAAAAKECAABkcnMvZG93bnJldi54bWxQSwUGAAAAAAQABAD5AAAAkgMAAAAA&#10;" strokecolor="white [3212]">
                  <v:stroke endarrow="classic"/>
                </v:shape>
                <v:shape id="Elbow Connector 19" o:spid="_x0000_s1033" type="#_x0000_t34" style="position:absolute;left:16304;top:2760;width:6212;height:118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PCcYAAADbAAAADwAAAGRycy9kb3ducmV2LnhtbESPQWvCQBSE7wX/w/IKvRTdqEUkdRNE&#10;KRR7asxBb8/saxKafRuz2xj99d2C0OMwM98wq3Qwjeipc7VlBdNJBIK4sLrmUkG+fxsvQTiPrLGx&#10;TAqu5CBNRg8rjLW98Cf1mS9FgLCLUUHlfRtL6YqKDLqJbYmD92U7gz7IrpS6w0uAm0bOomghDdYc&#10;FipsaVNR8Z39GAWnuufs+XDNty/N8SyLj932tt4p9fQ4rF9BeBr8f/jeftcKZnP4+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XDwnGAAAA2wAAAA8AAAAAAAAA&#10;AAAAAAAAoQIAAGRycy9kb3ducmV2LnhtbFBLBQYAAAAABAAEAPkAAACUAwAAAAA=&#10;" strokecolor="white [3212]">
                  <v:stroke endarrow="classic"/>
                </v:shape>
                <v:rect id="Rectangle 22" o:spid="_x0000_s1034" style="position:absolute;left:19150;top:22860;width:12372;height:6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6kMMA&#10;AADbAAAADwAAAGRycy9kb3ducmV2LnhtbESPQWvCQBSE7wX/w/IEL0U3SikhuoqKYim9VIPnZ/aZ&#10;BLNvw+4a47/vFgo9DjPzDbNY9aYRHTlfW1YwnSQgiAuray4V5Kf9OAXhA7LGxjIpeJKH1XLwssBM&#10;2wd/U3cMpYgQ9hkqqEJoMyl9UZFBP7EtcfSu1hkMUbpSaoePCDeNnCXJuzRYc1yosKVtRcXteDcK&#10;0l14LX36KdtNdz7g1/6S584pNRr26zmIQH34D/+1P7SC2Rv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W6kMMAAADbAAAADwAAAAAAAAAAAAAAAACYAgAAZHJzL2Rv&#10;d25yZXYueG1sUEsFBgAAAAAEAAQA9QAAAIgDAAAAAA==&#10;" fillcolor="#efcccc [665]" stroked="f">
                  <v:textbox>
                    <w:txbxContent>
                      <w:p w14:paraId="6CE036BF" w14:textId="77777777" w:rsidR="002536F9" w:rsidRDefault="002536F9" w:rsidP="000E2696">
                        <w:pPr>
                          <w:pStyle w:val="NormalWeb"/>
                          <w:spacing w:before="0" w:beforeAutospacing="0" w:after="0" w:afterAutospacing="0"/>
                          <w:jc w:val="center"/>
                        </w:pPr>
                        <w:r>
                          <w:rPr>
                            <w:rFonts w:asciiTheme="minorHAnsi" w:hAnsi="Arial" w:cstheme="minorBidi"/>
                            <w:color w:val="000000" w:themeColor="dark1"/>
                            <w:kern w:val="24"/>
                            <w:sz w:val="20"/>
                            <w:szCs w:val="20"/>
                          </w:rPr>
                          <w:t>Budget Operations Framework</w:t>
                        </w:r>
                      </w:p>
                    </w:txbxContent>
                  </v:textbox>
                </v:rect>
                <v:rect id="Rectangle 23" o:spid="_x0000_s1035" style="position:absolute;left:2501;top:22860;width:13766;height:6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JcEA&#10;AADbAAAADwAAAGRycy9kb3ducmV2LnhtbESPT4vCMBTE78J+h/AWvMiaKCK71SiLIPTov8MeH82z&#10;Ldu8lCTa6qc3guBxmJnfMMt1bxtxJR9qxxomYwWCuHCm5lLD6bj9+gYRIrLBxjFpuFGA9epjsMTM&#10;uI73dD3EUiQIhww1VDG2mZShqMhiGLuWOHln5y3GJH0pjccuwW0jp0rNpcWa00KFLW0qKv4PF6vh&#10;jvXG5yr/46BGuxn/lJcZdVoPP/vfBYhIfXyHX+3caJjO4f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BSCXBAAAA2wAAAA8AAAAAAAAAAAAAAAAAmAIAAGRycy9kb3du&#10;cmV2LnhtbFBLBQYAAAAABAAEAPUAAACGAwAAAAA=&#10;" fillcolor="#e3ebf4 [662]" stroked="f">
                  <v:textbox>
                    <w:txbxContent>
                      <w:p w14:paraId="74012465" w14:textId="77777777" w:rsidR="002536F9" w:rsidRDefault="002536F9" w:rsidP="000E2696">
                        <w:pPr>
                          <w:pStyle w:val="NormalWeb"/>
                          <w:spacing w:before="0" w:beforeAutospacing="0" w:after="0" w:afterAutospacing="0"/>
                          <w:jc w:val="center"/>
                        </w:pPr>
                        <w:r>
                          <w:rPr>
                            <w:rFonts w:asciiTheme="minorHAnsi" w:hAnsi="Arial" w:cstheme="minorBidi"/>
                            <w:color w:val="000000" w:themeColor="dark1"/>
                            <w:kern w:val="24"/>
                            <w:sz w:val="20"/>
                            <w:szCs w:val="20"/>
                          </w:rPr>
                          <w:t>Financial Reporting Operations Framework</w:t>
                        </w:r>
                      </w:p>
                    </w:txbxContent>
                  </v:textbox>
                </v:rect>
                <v:shape id="Elbow Connector 24" o:spid="_x0000_s1036" type="#_x0000_t34" style="position:absolute;left:16735;top:14147;width:5351;height:118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LHBMUAAADbAAAADwAAAGRycy9kb3ducmV2LnhtbESPUUvDQBCE34X+h2MLvtlLC9USey1S&#10;KFgoaKMivi25bS6Y24u5tU3+vVcQ+jjMzDfMct37Rp2oi3VgA9NJBoq4DLbmysD72/ZuASoKssUm&#10;MBkYKMJ6NbpZYm7DmQ90KqRSCcIxRwNOpM21jqUjj3ESWuLkHUPnUZLsKm07PCe4b/Qsy+61x5rT&#10;gsOWNo7K7+LXG3hpf3af+302CH68Phw3i8J9yWDM7bh/egQl1Ms1/N9+tgZmc7h8ST9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LHBMUAAADbAAAADwAAAAAAAAAA&#10;AAAAAAChAgAAZHJzL2Rvd25yZXYueG1sUEsFBgAAAAAEAAQA+QAAAJMDAAAAAA==&#10;" strokecolor="white [3212]">
                  <v:stroke endarrow="classic"/>
                </v:shape>
                <v:shape id="Elbow Connector 25" o:spid="_x0000_s1037" type="#_x0000_t34" style="position:absolute;left:8712;top:18115;width:5351;height:41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JCsYAAADbAAAADwAAAGRycy9kb3ducmV2LnhtbESPQWvCQBSE7wX/w/IKvRTdKFIldRNE&#10;KRR7asxBb8/saxKafRuz2xj99d2C0OMwM98wq3Qwjeipc7VlBdNJBIK4sLrmUkG+fxsvQTiPrLGx&#10;TAqu5CBNRg8rjLW98Cf1mS9FgLCLUUHlfRtL6YqKDLqJbYmD92U7gz7IrpS6w0uAm0bOouhFGqw5&#10;LFTY0qai4jv7MQpOdc/Z8+Gab+fN8SyLj932tt4p9fQ4rF9BeBr8f/jeftcKZgv4+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sCQrGAAAA2wAAAA8AAAAAAAAA&#10;AAAAAAAAoQIAAGRycy9kb3ducmV2LnhtbFBLBQYAAAAABAAEAPkAAACUAwAAAAA=&#10;" strokecolor="white [3212]">
                  <v:stroke endarrow="classic"/>
                </v:shape>
                <v:shape id="Elbow Connector 26" o:spid="_x0000_s1038" type="#_x0000_t34" style="position:absolute;left:24757;top:6124;width:5352;height:278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zyQcIAAADbAAAADwAAAGRycy9kb3ducmV2LnhtbERPTWvCQBC9F/wPywi91Y0ttBJdpQiC&#10;glCbthRvQ3bMhmZn0+xUk3/fPQgeH+97sep9o87UxTqwgekkA0VcBltzZeDzY/MwAxUF2WITmAwM&#10;FGG1HN0tMLfhwu90LqRSKYRjjgacSJtrHUtHHuMktMSJO4XOoyTYVdp2eEnhvtGPWfasPdacGhy2&#10;tHZU/hR/3sBb+7v73u+zQfDr8HJazwp3lMGY+3H/Ogcl1MtNfHVvrYGntD59ST9A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zyQcIAAADbAAAADwAAAAAAAAAAAAAA&#10;AAChAgAAZHJzL2Rvd25yZXYueG1sUEsFBgAAAAAEAAQA+QAAAJADAAAAAA==&#10;" strokecolor="white [3212]">
                  <v:stroke endarrow="classic"/>
                </v:shape>
                <w10:anchorlock/>
              </v:group>
            </w:pict>
          </mc:Fallback>
        </mc:AlternateContent>
      </w:r>
    </w:p>
    <w:p w14:paraId="3DFBFE91" w14:textId="77777777" w:rsidR="00D92463" w:rsidRDefault="00D92463">
      <w:pPr>
        <w:spacing w:before="0" w:after="200"/>
        <w:rPr>
          <w:rFonts w:asciiTheme="majorHAnsi" w:eastAsiaTheme="majorEastAsia" w:hAnsiTheme="majorHAnsi" w:cstheme="majorBidi"/>
          <w:b/>
          <w:bCs/>
          <w:color w:val="0063A6" w:themeColor="accent1"/>
          <w:sz w:val="28"/>
          <w:szCs w:val="26"/>
        </w:rPr>
      </w:pPr>
      <w:bookmarkStart w:id="7" w:name="_Toc445459710"/>
      <w:r>
        <w:br w:type="page"/>
      </w:r>
    </w:p>
    <w:p w14:paraId="1D7F9067" w14:textId="67979A01" w:rsidR="005476DA" w:rsidRDefault="005476DA" w:rsidP="0060329E">
      <w:pPr>
        <w:pStyle w:val="Heading2"/>
      </w:pPr>
      <w:bookmarkStart w:id="8" w:name="_Toc476658075"/>
      <w:r>
        <w:lastRenderedPageBreak/>
        <w:t>Application and compliance</w:t>
      </w:r>
      <w:bookmarkEnd w:id="7"/>
      <w:bookmarkEnd w:id="8"/>
    </w:p>
    <w:p w14:paraId="41D37E35" w14:textId="77777777" w:rsidR="005476DA" w:rsidRDefault="005476DA" w:rsidP="0060329E">
      <w:pPr>
        <w:rPr>
          <w:lang w:eastAsia="en-US"/>
        </w:rPr>
      </w:pPr>
      <w:r>
        <w:rPr>
          <w:lang w:eastAsia="en-US"/>
        </w:rPr>
        <w:t>The BOF applies to all Victorian Departments.</w:t>
      </w:r>
      <w:r>
        <w:rPr>
          <w:rStyle w:val="FootnoteReference"/>
          <w:lang w:eastAsia="en-US"/>
        </w:rPr>
        <w:footnoteReference w:id="2"/>
      </w:r>
      <w:r>
        <w:rPr>
          <w:lang w:eastAsia="en-US"/>
        </w:rPr>
        <w:t xml:space="preserve"> </w:t>
      </w:r>
    </w:p>
    <w:p w14:paraId="699D9955" w14:textId="77777777" w:rsidR="005476DA" w:rsidRDefault="005476DA" w:rsidP="0060329E">
      <w:pPr>
        <w:rPr>
          <w:lang w:eastAsia="en-US"/>
        </w:rPr>
      </w:pPr>
      <w:r>
        <w:rPr>
          <w:lang w:eastAsia="en-US"/>
        </w:rPr>
        <w:t>The Accountable Officer of each Department must ensure that the BOF is applied by the Department.</w:t>
      </w:r>
      <w:r>
        <w:rPr>
          <w:rStyle w:val="FootnoteReference"/>
          <w:lang w:eastAsia="en-US"/>
        </w:rPr>
        <w:footnoteReference w:id="3"/>
      </w:r>
      <w:r>
        <w:rPr>
          <w:lang w:eastAsia="en-US"/>
        </w:rPr>
        <w:t xml:space="preserve"> </w:t>
      </w:r>
    </w:p>
    <w:p w14:paraId="5E10492A" w14:textId="2DEBBBD3" w:rsidR="005476DA" w:rsidRDefault="005476DA" w:rsidP="0060329E">
      <w:pPr>
        <w:rPr>
          <w:lang w:eastAsia="en-US"/>
        </w:rPr>
      </w:pPr>
      <w:r>
        <w:rPr>
          <w:lang w:eastAsia="en-US"/>
        </w:rPr>
        <w:t>Applying the BOF requires</w:t>
      </w:r>
      <w:r w:rsidRPr="00FB4003">
        <w:rPr>
          <w:lang w:eastAsia="en-US"/>
        </w:rPr>
        <w:t xml:space="preserve"> comply</w:t>
      </w:r>
      <w:r>
        <w:rPr>
          <w:lang w:eastAsia="en-US"/>
        </w:rPr>
        <w:t>ing</w:t>
      </w:r>
      <w:r w:rsidRPr="00FB4003">
        <w:rPr>
          <w:lang w:eastAsia="en-US"/>
        </w:rPr>
        <w:t xml:space="preserve"> with </w:t>
      </w:r>
      <w:r>
        <w:rPr>
          <w:lang w:eastAsia="en-US"/>
        </w:rPr>
        <w:t>its mandatory requirements (</w:t>
      </w:r>
      <w:r w:rsidR="00151237">
        <w:rPr>
          <w:lang w:eastAsia="en-US"/>
        </w:rPr>
        <w:t>refer to</w:t>
      </w:r>
      <w:r>
        <w:rPr>
          <w:lang w:eastAsia="en-US"/>
        </w:rPr>
        <w:t xml:space="preserve"> the information provided under ‘Structure’</w:t>
      </w:r>
      <w:r w:rsidR="00BE5770">
        <w:rPr>
          <w:lang w:eastAsia="en-US"/>
        </w:rPr>
        <w:t xml:space="preserve"> below</w:t>
      </w:r>
      <w:r>
        <w:rPr>
          <w:lang w:eastAsia="en-US"/>
        </w:rPr>
        <w:t xml:space="preserve">). </w:t>
      </w:r>
    </w:p>
    <w:p w14:paraId="31D3B0B1" w14:textId="0553EC9C" w:rsidR="005476DA" w:rsidRDefault="005476DA" w:rsidP="0060329E">
      <w:pPr>
        <w:rPr>
          <w:lang w:eastAsia="en-US"/>
        </w:rPr>
      </w:pPr>
      <w:r>
        <w:rPr>
          <w:lang w:eastAsia="en-US"/>
        </w:rPr>
        <w:t xml:space="preserve">Departments are subject to the compliance requirements set out in the Standing Directions in relation to the BOF. This includes public attestation of compliance in annual reports from 2017-18. </w:t>
      </w:r>
      <w:r w:rsidR="00151237">
        <w:rPr>
          <w:lang w:eastAsia="en-US"/>
        </w:rPr>
        <w:t>Refer to</w:t>
      </w:r>
      <w:r>
        <w:rPr>
          <w:lang w:eastAsia="en-US"/>
        </w:rPr>
        <w:t xml:space="preserve"> the Standing Directions for more information, </w:t>
      </w:r>
      <w:r w:rsidR="00B92B94">
        <w:rPr>
          <w:lang w:eastAsia="en-US"/>
        </w:rPr>
        <w:t>in</w:t>
      </w:r>
      <w:r>
        <w:rPr>
          <w:lang w:eastAsia="en-US"/>
        </w:rPr>
        <w:t xml:space="preserve"> particular Direction 5.1. </w:t>
      </w:r>
    </w:p>
    <w:p w14:paraId="212E4760" w14:textId="205EC02C" w:rsidR="005476DA" w:rsidRDefault="005476DA" w:rsidP="0060329E">
      <w:pPr>
        <w:rPr>
          <w:lang w:eastAsia="en-US"/>
        </w:rPr>
      </w:pPr>
      <w:r w:rsidRPr="0045413F">
        <w:rPr>
          <w:lang w:eastAsia="en-US"/>
        </w:rPr>
        <w:t xml:space="preserve">The </w:t>
      </w:r>
      <w:r w:rsidR="002430D7" w:rsidRPr="000F010F">
        <w:rPr>
          <w:i/>
          <w:lang w:eastAsia="en-US"/>
        </w:rPr>
        <w:t>Financial Management Act 1994</w:t>
      </w:r>
      <w:r w:rsidR="002430D7">
        <w:rPr>
          <w:lang w:eastAsia="en-US"/>
        </w:rPr>
        <w:t xml:space="preserve"> (</w:t>
      </w:r>
      <w:r>
        <w:rPr>
          <w:lang w:eastAsia="en-US"/>
        </w:rPr>
        <w:t>FMA</w:t>
      </w:r>
      <w:r w:rsidR="002430D7">
        <w:rPr>
          <w:lang w:eastAsia="en-US"/>
        </w:rPr>
        <w:t>)</w:t>
      </w:r>
      <w:r w:rsidRPr="0045413F">
        <w:rPr>
          <w:lang w:eastAsia="en-US"/>
        </w:rPr>
        <w:t xml:space="preserve"> requires Departments and Victorian public sector entities to comply with requirements in relation to financial management. While the Standin</w:t>
      </w:r>
      <w:r>
        <w:rPr>
          <w:lang w:eastAsia="en-US"/>
        </w:rPr>
        <w:t xml:space="preserve">g Directions only mandate the </w:t>
      </w:r>
      <w:r w:rsidRPr="0045413F">
        <w:rPr>
          <w:lang w:eastAsia="en-US"/>
        </w:rPr>
        <w:t xml:space="preserve">BOF for Departments, other entities subject to aspects of the FMA are expected to comply with </w:t>
      </w:r>
      <w:r w:rsidR="002430D7">
        <w:rPr>
          <w:lang w:eastAsia="en-US"/>
        </w:rPr>
        <w:t>its</w:t>
      </w:r>
      <w:r w:rsidR="002430D7" w:rsidRPr="0045413F">
        <w:rPr>
          <w:lang w:eastAsia="en-US"/>
        </w:rPr>
        <w:t xml:space="preserve"> </w:t>
      </w:r>
      <w:r w:rsidRPr="0045413F">
        <w:rPr>
          <w:lang w:eastAsia="en-US"/>
        </w:rPr>
        <w:t>related requirements</w:t>
      </w:r>
      <w:r>
        <w:rPr>
          <w:lang w:eastAsia="en-US"/>
        </w:rPr>
        <w:t xml:space="preserve">. For example, an agency </w:t>
      </w:r>
      <w:r w:rsidRPr="0045413F">
        <w:rPr>
          <w:lang w:eastAsia="en-US"/>
        </w:rPr>
        <w:t xml:space="preserve">that is subject to </w:t>
      </w:r>
      <w:r w:rsidR="00151237">
        <w:rPr>
          <w:lang w:eastAsia="en-US"/>
        </w:rPr>
        <w:t xml:space="preserve">the </w:t>
      </w:r>
      <w:r>
        <w:rPr>
          <w:lang w:eastAsia="en-US"/>
        </w:rPr>
        <w:t>Capital Assets Charge</w:t>
      </w:r>
      <w:r w:rsidRPr="0045413F">
        <w:rPr>
          <w:lang w:eastAsia="en-US"/>
        </w:rPr>
        <w:t xml:space="preserve"> should comply with BOF </w:t>
      </w:r>
      <w:r w:rsidR="0047467F" w:rsidRPr="00447980">
        <w:rPr>
          <w:lang w:eastAsia="en-US"/>
        </w:rPr>
        <w:t>3</w:t>
      </w:r>
      <w:r w:rsidR="00A73D03" w:rsidRPr="00447980">
        <w:rPr>
          <w:lang w:eastAsia="en-US"/>
        </w:rPr>
        <w:t>.2</w:t>
      </w:r>
      <w:r w:rsidRPr="00447980">
        <w:rPr>
          <w:lang w:eastAsia="en-US"/>
        </w:rPr>
        <w:t xml:space="preserve"> (Capital Assets Charge).</w:t>
      </w:r>
      <w:r w:rsidRPr="0045413F">
        <w:rPr>
          <w:lang w:eastAsia="en-US"/>
        </w:rPr>
        <w:t xml:space="preserve"> The expectation is that agencies using public resources should manage and account for those resources transparently</w:t>
      </w:r>
      <w:r w:rsidR="003D262B">
        <w:rPr>
          <w:lang w:eastAsia="en-US"/>
        </w:rPr>
        <w:t>, consistent with stated government policies</w:t>
      </w:r>
      <w:r w:rsidRPr="0045413F">
        <w:rPr>
          <w:lang w:eastAsia="en-US"/>
        </w:rPr>
        <w:t xml:space="preserve"> and, as far as possible, consistently with other agencies.</w:t>
      </w:r>
    </w:p>
    <w:p w14:paraId="0774F5E3" w14:textId="0328397F" w:rsidR="005476DA" w:rsidRDefault="005476DA" w:rsidP="0060329E">
      <w:pPr>
        <w:rPr>
          <w:lang w:eastAsia="en-US"/>
        </w:rPr>
      </w:pPr>
      <w:r>
        <w:rPr>
          <w:lang w:eastAsia="en-US"/>
        </w:rPr>
        <w:t>Other ag</w:t>
      </w:r>
      <w:r w:rsidR="00FD79F1">
        <w:rPr>
          <w:lang w:eastAsia="en-US"/>
        </w:rPr>
        <w:t>encies are not bound by the BOF,</w:t>
      </w:r>
      <w:r>
        <w:rPr>
          <w:lang w:eastAsia="en-US"/>
        </w:rPr>
        <w:t xml:space="preserve"> but may voluntarily adopt it </w:t>
      </w:r>
      <w:r w:rsidR="00D27358">
        <w:rPr>
          <w:lang w:eastAsia="en-US"/>
        </w:rPr>
        <w:t xml:space="preserve">where </w:t>
      </w:r>
      <w:r>
        <w:rPr>
          <w:lang w:eastAsia="en-US"/>
        </w:rPr>
        <w:t>relevant.</w:t>
      </w:r>
    </w:p>
    <w:p w14:paraId="2D09A7EF" w14:textId="77777777" w:rsidR="005476DA" w:rsidRDefault="005476DA" w:rsidP="0060329E">
      <w:pPr>
        <w:pStyle w:val="Heading2"/>
      </w:pPr>
      <w:bookmarkStart w:id="9" w:name="_Toc445459711"/>
      <w:bookmarkStart w:id="10" w:name="_Toc476658076"/>
      <w:r>
        <w:t>Commencement, DTF role and currency</w:t>
      </w:r>
      <w:bookmarkEnd w:id="9"/>
      <w:bookmarkEnd w:id="10"/>
      <w:r>
        <w:t xml:space="preserve"> </w:t>
      </w:r>
    </w:p>
    <w:p w14:paraId="667C4494" w14:textId="70B80D66" w:rsidR="005476DA" w:rsidRDefault="005476DA" w:rsidP="0060329E">
      <w:pPr>
        <w:rPr>
          <w:lang w:eastAsia="en-US"/>
        </w:rPr>
      </w:pPr>
      <w:r>
        <w:rPr>
          <w:lang w:eastAsia="en-US"/>
        </w:rPr>
        <w:t xml:space="preserve">The BOF </w:t>
      </w:r>
      <w:r w:rsidR="00B92B94">
        <w:rPr>
          <w:lang w:eastAsia="en-US"/>
        </w:rPr>
        <w:t xml:space="preserve">formally </w:t>
      </w:r>
      <w:r>
        <w:rPr>
          <w:lang w:eastAsia="en-US"/>
        </w:rPr>
        <w:t>commence</w:t>
      </w:r>
      <w:r w:rsidR="00CE016E">
        <w:rPr>
          <w:lang w:eastAsia="en-US"/>
        </w:rPr>
        <w:t>d</w:t>
      </w:r>
      <w:r>
        <w:rPr>
          <w:lang w:eastAsia="en-US"/>
        </w:rPr>
        <w:t xml:space="preserve"> on </w:t>
      </w:r>
      <w:r w:rsidRPr="00631C08">
        <w:rPr>
          <w:lang w:eastAsia="en-US"/>
        </w:rPr>
        <w:t>1 July 2016</w:t>
      </w:r>
      <w:r>
        <w:rPr>
          <w:lang w:eastAsia="en-US"/>
        </w:rPr>
        <w:t xml:space="preserve">. </w:t>
      </w:r>
      <w:r w:rsidR="00B92B94">
        <w:rPr>
          <w:lang w:eastAsia="en-US"/>
        </w:rPr>
        <w:t xml:space="preserve">This version of the BOF is being released in February 2017 and is </w:t>
      </w:r>
      <w:r w:rsidR="00B92B94" w:rsidRPr="00631C08">
        <w:rPr>
          <w:b/>
          <w:lang w:eastAsia="en-US"/>
        </w:rPr>
        <w:t>effective immediately</w:t>
      </w:r>
      <w:r w:rsidR="00B92B94">
        <w:rPr>
          <w:lang w:eastAsia="en-US"/>
        </w:rPr>
        <w:t>.</w:t>
      </w:r>
    </w:p>
    <w:p w14:paraId="485FC9EA" w14:textId="0D3F2D1A" w:rsidR="005476DA" w:rsidRDefault="005476DA" w:rsidP="0060329E">
      <w:r>
        <w:rPr>
          <w:lang w:eastAsia="en-US"/>
        </w:rPr>
        <w:t xml:space="preserve">The BOF supersedes a number of Budget and Financial Management </w:t>
      </w:r>
      <w:proofErr w:type="spellStart"/>
      <w:r>
        <w:rPr>
          <w:lang w:eastAsia="en-US"/>
        </w:rPr>
        <w:t>Guidances</w:t>
      </w:r>
      <w:proofErr w:type="spellEnd"/>
      <w:r>
        <w:rPr>
          <w:lang w:eastAsia="en-US"/>
        </w:rPr>
        <w:t xml:space="preserve"> (BFMGs) previously issued by DTF under the </w:t>
      </w:r>
      <w:r w:rsidRPr="007C5620">
        <w:rPr>
          <w:i/>
        </w:rPr>
        <w:t xml:space="preserve">Standing Directions </w:t>
      </w:r>
      <w:r>
        <w:rPr>
          <w:i/>
        </w:rPr>
        <w:t xml:space="preserve">of the Minister for Finance 2003 </w:t>
      </w:r>
      <w:r w:rsidRPr="00FB4003">
        <w:t>(2003 Directions)</w:t>
      </w:r>
      <w:r>
        <w:rPr>
          <w:i/>
        </w:rPr>
        <w:t xml:space="preserve">. </w:t>
      </w:r>
      <w:r w:rsidR="00A73D03">
        <w:t>Th</w:t>
      </w:r>
      <w:r w:rsidR="00F93740">
        <w:t>e</w:t>
      </w:r>
      <w:r>
        <w:t xml:space="preserve"> BFMGs </w:t>
      </w:r>
      <w:r w:rsidR="00151237">
        <w:t xml:space="preserve">were </w:t>
      </w:r>
      <w:r>
        <w:t>discontinue</w:t>
      </w:r>
      <w:r w:rsidR="00A73D03">
        <w:t>d</w:t>
      </w:r>
      <w:r>
        <w:t xml:space="preserve"> on </w:t>
      </w:r>
      <w:r w:rsidR="00452439">
        <w:t>1</w:t>
      </w:r>
      <w:r>
        <w:t xml:space="preserve"> J</w:t>
      </w:r>
      <w:r w:rsidR="00452439">
        <w:t>uly</w:t>
      </w:r>
      <w:r>
        <w:t xml:space="preserve"> 2016, along with the 2003 Directions. </w:t>
      </w:r>
    </w:p>
    <w:p w14:paraId="1DD20248" w14:textId="697FE8C5" w:rsidR="005476DA" w:rsidRPr="007B55B1" w:rsidRDefault="005476DA" w:rsidP="0060329E">
      <w:r>
        <w:t>DTF manages and implements the BOF on behalf of the Deputy Secretary, Budget and Finance Division</w:t>
      </w:r>
      <w:r w:rsidRPr="007B55B1">
        <w:t>.</w:t>
      </w:r>
      <w:r>
        <w:t xml:space="preserve"> To ask a question or provide feedback on the BOF, email </w:t>
      </w:r>
      <w:hyperlink r:id="rId26" w:history="1">
        <w:r w:rsidR="00CB2EDC" w:rsidRPr="00CB2EDC">
          <w:rPr>
            <w:rStyle w:val="Hyperlink"/>
          </w:rPr>
          <w:t>financial.frameworks@dtf.vic.gov.au</w:t>
        </w:r>
      </w:hyperlink>
    </w:p>
    <w:p w14:paraId="1CAE49B1" w14:textId="0C958730" w:rsidR="005476DA" w:rsidRDefault="005476DA" w:rsidP="0060329E">
      <w:r w:rsidRPr="00BE5770">
        <w:t xml:space="preserve">The BOF may be amended and re-issued from time to time. </w:t>
      </w:r>
      <w:r w:rsidR="00C528ED" w:rsidRPr="00BE5770">
        <w:t xml:space="preserve">Departmental CFOs will be notified of any new releases of the BOF. </w:t>
      </w:r>
      <w:r w:rsidRPr="00BE5770">
        <w:t xml:space="preserve">Please </w:t>
      </w:r>
      <w:r w:rsidR="00C528ED" w:rsidRPr="00BE5770">
        <w:t xml:space="preserve">also </w:t>
      </w:r>
      <w:r w:rsidRPr="00BE5770">
        <w:t xml:space="preserve">check the DTF website to ensure you are working </w:t>
      </w:r>
      <w:r>
        <w:t xml:space="preserve">with the latest version. </w:t>
      </w:r>
    </w:p>
    <w:p w14:paraId="654DD45B" w14:textId="77777777" w:rsidR="001E7B8A" w:rsidRDefault="001E7B8A">
      <w:pPr>
        <w:spacing w:before="0" w:after="200"/>
        <w:rPr>
          <w:rFonts w:asciiTheme="majorHAnsi" w:eastAsiaTheme="majorEastAsia" w:hAnsiTheme="majorHAnsi" w:cstheme="majorBidi"/>
          <w:b/>
          <w:bCs/>
          <w:color w:val="0063A6" w:themeColor="accent1"/>
          <w:sz w:val="28"/>
          <w:szCs w:val="26"/>
        </w:rPr>
      </w:pPr>
      <w:bookmarkStart w:id="11" w:name="_Toc440958654"/>
      <w:bookmarkStart w:id="12" w:name="_Toc445459712"/>
      <w:r>
        <w:br w:type="page"/>
      </w:r>
    </w:p>
    <w:p w14:paraId="75D884B7" w14:textId="77777777" w:rsidR="005476DA" w:rsidRDefault="005476DA" w:rsidP="0060329E">
      <w:pPr>
        <w:pStyle w:val="Heading2"/>
      </w:pPr>
      <w:bookmarkStart w:id="13" w:name="_Toc476658077"/>
      <w:r>
        <w:lastRenderedPageBreak/>
        <w:t>Structure</w:t>
      </w:r>
      <w:bookmarkEnd w:id="11"/>
      <w:bookmarkEnd w:id="12"/>
      <w:bookmarkEnd w:id="13"/>
    </w:p>
    <w:p w14:paraId="0E6862A2" w14:textId="77777777" w:rsidR="005476DA" w:rsidRDefault="005476DA" w:rsidP="0060329E">
      <w:r>
        <w:t>The BOF consists of two components:</w:t>
      </w:r>
    </w:p>
    <w:p w14:paraId="559CA7F5" w14:textId="77777777" w:rsidR="005476DA" w:rsidRDefault="005476DA" w:rsidP="006926C1">
      <w:pPr>
        <w:pStyle w:val="Bullet1"/>
      </w:pPr>
      <w:r>
        <w:t>mandatory</w:t>
      </w:r>
      <w:r w:rsidRPr="00726846">
        <w:t xml:space="preserve"> </w:t>
      </w:r>
      <w:r w:rsidR="002430D7">
        <w:t>requirements</w:t>
      </w:r>
      <w:r>
        <w:t>; and</w:t>
      </w:r>
    </w:p>
    <w:p w14:paraId="75E44A4D" w14:textId="77777777" w:rsidR="005476DA" w:rsidRDefault="005476DA" w:rsidP="006926C1">
      <w:pPr>
        <w:pStyle w:val="Bullet1"/>
      </w:pPr>
      <w:r>
        <w:t>non-mandatory guidance material.</w:t>
      </w:r>
    </w:p>
    <w:p w14:paraId="5203662E" w14:textId="77777777" w:rsidR="005476DA" w:rsidRPr="00FD79F1" w:rsidRDefault="005476DA" w:rsidP="0060329E">
      <w:r w:rsidRPr="00FD79F1">
        <w:t>This document is divided into the following chapters:</w:t>
      </w:r>
    </w:p>
    <w:p w14:paraId="6773D670" w14:textId="77777777" w:rsidR="003713DE" w:rsidRPr="00FD79F1" w:rsidRDefault="003713DE" w:rsidP="003D272A">
      <w:pPr>
        <w:pStyle w:val="Bullet1"/>
      </w:pPr>
      <w:r w:rsidRPr="00FD79F1">
        <w:t>Setting the context for the State’s Budget;</w:t>
      </w:r>
    </w:p>
    <w:p w14:paraId="61F67DD2" w14:textId="77777777" w:rsidR="003713DE" w:rsidRPr="00FD79F1" w:rsidRDefault="003713DE" w:rsidP="003D272A">
      <w:pPr>
        <w:pStyle w:val="Bullet1"/>
      </w:pPr>
      <w:r w:rsidRPr="00FD79F1">
        <w:t>The legislation supporting the State’s resource management framework;</w:t>
      </w:r>
    </w:p>
    <w:p w14:paraId="4845DA26" w14:textId="77777777" w:rsidR="005476DA" w:rsidRPr="00FD79F1" w:rsidRDefault="00CE016E" w:rsidP="003D272A">
      <w:pPr>
        <w:pStyle w:val="Bullet1"/>
      </w:pPr>
      <w:r w:rsidRPr="00FD79F1">
        <w:t xml:space="preserve">The State’s </w:t>
      </w:r>
      <w:r w:rsidR="00BE5770">
        <w:t xml:space="preserve">appropriation </w:t>
      </w:r>
      <w:r w:rsidRPr="00FD79F1">
        <w:t>framework</w:t>
      </w:r>
      <w:r w:rsidR="005476DA" w:rsidRPr="00FD79F1">
        <w:t>;</w:t>
      </w:r>
    </w:p>
    <w:p w14:paraId="3ACEBD1F" w14:textId="77777777" w:rsidR="005476DA" w:rsidRPr="00FD79F1" w:rsidRDefault="00CE016E" w:rsidP="003D272A">
      <w:pPr>
        <w:pStyle w:val="Bullet1"/>
      </w:pPr>
      <w:r w:rsidRPr="00FD79F1">
        <w:t>Mechanisms available to manage departmental funding levels</w:t>
      </w:r>
      <w:r w:rsidR="005476DA" w:rsidRPr="00FD79F1">
        <w:t>;</w:t>
      </w:r>
    </w:p>
    <w:p w14:paraId="283A1585" w14:textId="77777777" w:rsidR="00FD79F1" w:rsidRPr="00FD79F1" w:rsidRDefault="00FD79F1" w:rsidP="003D272A">
      <w:pPr>
        <w:pStyle w:val="Bullet1"/>
      </w:pPr>
      <w:r w:rsidRPr="00FD79F1">
        <w:t>Accrual budgeting concepts</w:t>
      </w:r>
      <w:r w:rsidR="00BE5770">
        <w:t>;</w:t>
      </w:r>
    </w:p>
    <w:p w14:paraId="57585F30" w14:textId="77777777" w:rsidR="00FD79F1" w:rsidRDefault="00FD79F1" w:rsidP="003D272A">
      <w:pPr>
        <w:pStyle w:val="Bullet1"/>
      </w:pPr>
      <w:r w:rsidRPr="00FD79F1">
        <w:t>Asset funding and management policies</w:t>
      </w:r>
      <w:r w:rsidR="00BE5770">
        <w:t>;</w:t>
      </w:r>
    </w:p>
    <w:p w14:paraId="01A92133" w14:textId="506B4BDC" w:rsidR="005E0C03" w:rsidRPr="00FD79F1" w:rsidRDefault="005E0C03" w:rsidP="003D272A">
      <w:pPr>
        <w:pStyle w:val="Bullet1"/>
      </w:pPr>
      <w:r>
        <w:t>Other budget policies</w:t>
      </w:r>
    </w:p>
    <w:p w14:paraId="2224A1D3" w14:textId="77777777" w:rsidR="00FD79F1" w:rsidRPr="00FD79F1" w:rsidRDefault="00FD79F1" w:rsidP="003D272A">
      <w:pPr>
        <w:pStyle w:val="Bullet1"/>
      </w:pPr>
      <w:r w:rsidRPr="00FD79F1">
        <w:t>Concepts and mechanisms underpinning budget and financial management</w:t>
      </w:r>
      <w:r w:rsidR="00BE5770">
        <w:t>; and</w:t>
      </w:r>
    </w:p>
    <w:p w14:paraId="7260DE69" w14:textId="77777777" w:rsidR="00FD79F1" w:rsidRPr="00FD79F1" w:rsidRDefault="00FD79F1" w:rsidP="003D272A">
      <w:pPr>
        <w:pStyle w:val="Bullet1"/>
      </w:pPr>
      <w:r w:rsidRPr="00FD79F1">
        <w:t>Guidance on estimates updates</w:t>
      </w:r>
      <w:r w:rsidR="00BE5770">
        <w:t>.</w:t>
      </w:r>
    </w:p>
    <w:p w14:paraId="09415C48" w14:textId="77777777" w:rsidR="005476DA" w:rsidRDefault="005476DA" w:rsidP="0060329E">
      <w:r>
        <w:t>An additional section sets out relevant attachments.</w:t>
      </w:r>
    </w:p>
    <w:p w14:paraId="2B7DECA1" w14:textId="77777777" w:rsidR="005476DA" w:rsidRDefault="005476DA" w:rsidP="0060329E">
      <w:r>
        <w:t>The chapters are presented as follows:</w:t>
      </w:r>
    </w:p>
    <w:p w14:paraId="18EBB85A" w14:textId="77777777" w:rsidR="00C92091" w:rsidRDefault="00C92091" w:rsidP="00C92091">
      <w:pPr>
        <w:pStyle w:val="NormalIndent"/>
      </w:pPr>
      <w:r w:rsidRPr="00C92091">
        <w:rPr>
          <w:noProof/>
        </w:rPr>
        <w:drawing>
          <wp:inline distT="0" distB="0" distL="0" distR="0" wp14:anchorId="37646261" wp14:editId="211EF968">
            <wp:extent cx="4468483" cy="3414377"/>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478603" cy="3422110"/>
                    </a:xfrm>
                    <a:prstGeom prst="rect">
                      <a:avLst/>
                    </a:prstGeom>
                  </pic:spPr>
                </pic:pic>
              </a:graphicData>
            </a:graphic>
          </wp:inline>
        </w:drawing>
      </w:r>
    </w:p>
    <w:p w14:paraId="260C22B3" w14:textId="77777777" w:rsidR="005476DA" w:rsidRPr="008608AD" w:rsidRDefault="005476DA" w:rsidP="000E2696">
      <w:pPr>
        <w:pStyle w:val="NormalIndent"/>
        <w:rPr>
          <w:lang w:eastAsia="en-US"/>
        </w:rPr>
      </w:pPr>
    </w:p>
    <w:p w14:paraId="3A9BE3E0" w14:textId="77777777" w:rsidR="00C92091" w:rsidRDefault="00C92091">
      <w:pPr>
        <w:spacing w:before="0" w:after="200"/>
      </w:pPr>
      <w:r>
        <w:br w:type="page"/>
      </w:r>
    </w:p>
    <w:p w14:paraId="0981E0B8" w14:textId="77777777" w:rsidR="005476DA" w:rsidRDefault="005476DA" w:rsidP="0060329E">
      <w:pPr>
        <w:pStyle w:val="Heading1"/>
      </w:pPr>
      <w:bookmarkStart w:id="14" w:name="_Toc445459713"/>
      <w:bookmarkStart w:id="15" w:name="_Toc476658078"/>
      <w:r>
        <w:lastRenderedPageBreak/>
        <w:t>Definitions</w:t>
      </w:r>
      <w:bookmarkEnd w:id="14"/>
      <w:bookmarkEnd w:id="15"/>
    </w:p>
    <w:tbl>
      <w:tblPr>
        <w:tblStyle w:val="DTFtexttable"/>
        <w:tblW w:w="9335" w:type="dxa"/>
        <w:tblLook w:val="04A0" w:firstRow="1" w:lastRow="0" w:firstColumn="1" w:lastColumn="0" w:noHBand="0" w:noVBand="1"/>
      </w:tblPr>
      <w:tblGrid>
        <w:gridCol w:w="2531"/>
        <w:gridCol w:w="6804"/>
      </w:tblGrid>
      <w:tr w:rsidR="00C408AF" w:rsidRPr="00C408AF" w14:paraId="43D05A9E" w14:textId="77777777" w:rsidTr="00A63E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1" w:type="dxa"/>
          </w:tcPr>
          <w:p w14:paraId="5696AC3D" w14:textId="77777777" w:rsidR="00C408AF" w:rsidRPr="00C408AF" w:rsidRDefault="00C408AF" w:rsidP="0060329E">
            <w:r w:rsidRPr="00C408AF">
              <w:t>Term</w:t>
            </w:r>
          </w:p>
        </w:tc>
        <w:tc>
          <w:tcPr>
            <w:tcW w:w="6804" w:type="dxa"/>
            <w:tcBorders>
              <w:bottom w:val="nil"/>
            </w:tcBorders>
          </w:tcPr>
          <w:p w14:paraId="6D5A7F3E" w14:textId="77777777" w:rsidR="00C408AF" w:rsidRPr="00C408AF" w:rsidRDefault="00C408AF" w:rsidP="0060329E">
            <w:pPr>
              <w:cnfStyle w:val="100000000000" w:firstRow="1" w:lastRow="0" w:firstColumn="0" w:lastColumn="0" w:oddVBand="0" w:evenVBand="0" w:oddHBand="0" w:evenHBand="0" w:firstRowFirstColumn="0" w:firstRowLastColumn="0" w:lastRowFirstColumn="0" w:lastRowLastColumn="0"/>
            </w:pPr>
            <w:r w:rsidRPr="00C408AF">
              <w:t>Definition</w:t>
            </w:r>
          </w:p>
        </w:tc>
      </w:tr>
      <w:tr w:rsidR="00C408AF" w14:paraId="5E42CC87" w14:textId="77777777" w:rsidTr="00C408AF">
        <w:tc>
          <w:tcPr>
            <w:cnfStyle w:val="001000000000" w:firstRow="0" w:lastRow="0" w:firstColumn="1" w:lastColumn="0" w:oddVBand="0" w:evenVBand="0" w:oddHBand="0" w:evenHBand="0" w:firstRowFirstColumn="0" w:firstRowLastColumn="0" w:lastRowFirstColumn="0" w:lastRowLastColumn="0"/>
            <w:tcW w:w="2531" w:type="dxa"/>
          </w:tcPr>
          <w:p w14:paraId="2B314B39" w14:textId="77777777" w:rsidR="00C408AF" w:rsidRDefault="00C408AF" w:rsidP="0060329E">
            <w:pPr>
              <w:rPr>
                <w:b/>
              </w:rPr>
            </w:pPr>
            <w:r w:rsidRPr="000E2696">
              <w:rPr>
                <w:b/>
              </w:rPr>
              <w:t>Additions to the Net Assets Base (ATNAB)</w:t>
            </w:r>
          </w:p>
        </w:tc>
        <w:tc>
          <w:tcPr>
            <w:tcW w:w="6804" w:type="dxa"/>
            <w:tcBorders>
              <w:bottom w:val="nil"/>
            </w:tcBorders>
            <w:shd w:val="clear" w:color="auto" w:fill="FFFFFF" w:themeFill="background1"/>
          </w:tcPr>
          <w:p w14:paraId="1D1F8BCC" w14:textId="4831B5FE" w:rsidR="00C408AF" w:rsidRPr="00C408AF" w:rsidRDefault="00C408AF" w:rsidP="00151237">
            <w:pPr>
              <w:cnfStyle w:val="000000000000" w:firstRow="0" w:lastRow="0" w:firstColumn="0" w:lastColumn="0" w:oddVBand="0" w:evenVBand="0" w:oddHBand="0" w:evenHBand="0" w:firstRowFirstColumn="0" w:firstRowLastColumn="0" w:lastRowFirstColumn="0" w:lastRowLastColumn="0"/>
            </w:pPr>
            <w:r>
              <w:t>A</w:t>
            </w:r>
            <w:r w:rsidRPr="00DD0531">
              <w:t xml:space="preserve">n appropriation </w:t>
            </w:r>
            <w:r w:rsidR="00151237">
              <w:t>that</w:t>
            </w:r>
            <w:r w:rsidRPr="00DD0531">
              <w:t xml:space="preserve"> provides for an increase in the net capital base of a </w:t>
            </w:r>
            <w:r>
              <w:t>D</w:t>
            </w:r>
            <w:r w:rsidRPr="00DD0531">
              <w:t>epartment’s statement of financial position.</w:t>
            </w:r>
          </w:p>
        </w:tc>
      </w:tr>
      <w:tr w:rsidR="00C408AF" w14:paraId="444B7806" w14:textId="77777777" w:rsidTr="00C408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43AD3275" w14:textId="77777777" w:rsidR="00C408AF" w:rsidRDefault="00C408AF" w:rsidP="0060329E">
            <w:pPr>
              <w:rPr>
                <w:b/>
              </w:rPr>
            </w:pPr>
            <w:r w:rsidRPr="000E2696">
              <w:rPr>
                <w:b/>
                <w:iCs/>
              </w:rPr>
              <w:t xml:space="preserve">Administered </w:t>
            </w:r>
            <w:r>
              <w:rPr>
                <w:b/>
              </w:rPr>
              <w:t>item</w:t>
            </w:r>
          </w:p>
        </w:tc>
        <w:tc>
          <w:tcPr>
            <w:tcW w:w="6804" w:type="dxa"/>
            <w:tcBorders>
              <w:bottom w:val="nil"/>
            </w:tcBorders>
            <w:shd w:val="clear" w:color="auto" w:fill="FFFFFF" w:themeFill="background1"/>
          </w:tcPr>
          <w:p w14:paraId="66757D0E" w14:textId="77777777" w:rsidR="00C408AF" w:rsidRPr="003D1BE7" w:rsidRDefault="00C97607" w:rsidP="00C97607">
            <w:pPr>
              <w:cnfStyle w:val="000000010000" w:firstRow="0" w:lastRow="0" w:firstColumn="0" w:lastColumn="0" w:oddVBand="0" w:evenVBand="0" w:oddHBand="0" w:evenHBand="1" w:firstRowFirstColumn="0" w:firstRowLastColumn="0" w:lastRowFirstColumn="0" w:lastRowLastColumn="0"/>
            </w:pPr>
            <w:r>
              <w:t xml:space="preserve">An item that </w:t>
            </w:r>
            <w:r w:rsidR="00C408AF">
              <w:t>will generally be characterised by the relevant D</w:t>
            </w:r>
            <w:r w:rsidR="00C408AF" w:rsidRPr="00731E39">
              <w:t xml:space="preserve">epartment lacking the capacity to benefit from that item in the pursuit of the </w:t>
            </w:r>
            <w:r w:rsidR="00C408AF">
              <w:t>Department’</w:t>
            </w:r>
            <w:r w:rsidR="00C408AF" w:rsidRPr="00731E39">
              <w:t>s objectives</w:t>
            </w:r>
            <w:r w:rsidR="00C408AF">
              <w:t>,</w:t>
            </w:r>
            <w:r w:rsidR="00C408AF" w:rsidRPr="00731E39">
              <w:t xml:space="preserve"> and </w:t>
            </w:r>
            <w:r w:rsidR="00C408AF">
              <w:t xml:space="preserve">the Department </w:t>
            </w:r>
            <w:r w:rsidR="00C408AF" w:rsidRPr="00731E39">
              <w:t>lacking the capacity to deny or regulate the access of others to that benefit.</w:t>
            </w:r>
          </w:p>
        </w:tc>
      </w:tr>
      <w:tr w:rsidR="00C408AF" w14:paraId="4097AB44" w14:textId="77777777" w:rsidTr="00C408AF">
        <w:tc>
          <w:tcPr>
            <w:cnfStyle w:val="001000000000" w:firstRow="0" w:lastRow="0" w:firstColumn="1" w:lastColumn="0" w:oddVBand="0" w:evenVBand="0" w:oddHBand="0" w:evenHBand="0" w:firstRowFirstColumn="0" w:firstRowLastColumn="0" w:lastRowFirstColumn="0" w:lastRowLastColumn="0"/>
            <w:tcW w:w="2531" w:type="dxa"/>
          </w:tcPr>
          <w:p w14:paraId="1E485446" w14:textId="77777777" w:rsidR="00C408AF" w:rsidRDefault="00C408AF" w:rsidP="0060329E">
            <w:pPr>
              <w:rPr>
                <w:b/>
              </w:rPr>
            </w:pPr>
            <w:r w:rsidRPr="000E2696">
              <w:rPr>
                <w:b/>
              </w:rPr>
              <w:t>Appropriation</w:t>
            </w:r>
          </w:p>
        </w:tc>
        <w:tc>
          <w:tcPr>
            <w:tcW w:w="6804" w:type="dxa"/>
            <w:tcBorders>
              <w:bottom w:val="nil"/>
            </w:tcBorders>
            <w:shd w:val="clear" w:color="auto" w:fill="FFFFFF" w:themeFill="background1"/>
          </w:tcPr>
          <w:p w14:paraId="57D5CFF4" w14:textId="77777777" w:rsidR="00C408AF" w:rsidRPr="003D1BE7" w:rsidRDefault="00C408AF" w:rsidP="0060329E">
            <w:pPr>
              <w:cnfStyle w:val="000000000000" w:firstRow="0" w:lastRow="0" w:firstColumn="0" w:lastColumn="0" w:oddVBand="0" w:evenVBand="0" w:oddHBand="0" w:evenHBand="0" w:firstRowFirstColumn="0" w:firstRowLastColumn="0" w:lastRowFirstColumn="0" w:lastRowLastColumn="0"/>
            </w:pPr>
            <w:r>
              <w:t xml:space="preserve">An authority given by the Parliament to draw certain sums out of the Consolidated Fund, now or at some future point in time, for the purposes stated, up to the limit of the amount in the particular Act. </w:t>
            </w:r>
          </w:p>
        </w:tc>
      </w:tr>
      <w:tr w:rsidR="00C408AF" w14:paraId="7669558C" w14:textId="77777777" w:rsidTr="00C408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14F32904" w14:textId="77777777" w:rsidR="00C408AF" w:rsidRDefault="00C408AF" w:rsidP="0060329E">
            <w:pPr>
              <w:rPr>
                <w:b/>
              </w:rPr>
            </w:pPr>
            <w:r w:rsidRPr="000E2696">
              <w:rPr>
                <w:b/>
              </w:rPr>
              <w:t>Capital Assets Charge (CAC)</w:t>
            </w:r>
          </w:p>
        </w:tc>
        <w:tc>
          <w:tcPr>
            <w:tcW w:w="6804" w:type="dxa"/>
            <w:tcBorders>
              <w:bottom w:val="nil"/>
            </w:tcBorders>
            <w:shd w:val="clear" w:color="auto" w:fill="FFFFFF" w:themeFill="background1"/>
          </w:tcPr>
          <w:p w14:paraId="4F792ABC" w14:textId="77777777" w:rsidR="00C408AF" w:rsidRPr="003D1BE7" w:rsidRDefault="00C408AF" w:rsidP="00CF14A1">
            <w:pPr>
              <w:cnfStyle w:val="000000010000" w:firstRow="0" w:lastRow="0" w:firstColumn="0" w:lastColumn="0" w:oddVBand="0" w:evenVBand="0" w:oddHBand="0" w:evenHBand="1" w:firstRowFirstColumn="0" w:firstRowLastColumn="0" w:lastRowFirstColumn="0" w:lastRowLastColumn="0"/>
            </w:pPr>
            <w:r>
              <w:t>A charge levied on the written-down value of controlled non-current physical assets in a Department’s balance sheet which aims to attribute to agency outputs the opportunity cost of capital used in service delivery</w:t>
            </w:r>
            <w:r w:rsidR="003D1BE7">
              <w:t xml:space="preserve">. </w:t>
            </w:r>
          </w:p>
        </w:tc>
      </w:tr>
      <w:tr w:rsidR="00C408AF" w14:paraId="4DCEF073" w14:textId="77777777" w:rsidTr="00C408AF">
        <w:tc>
          <w:tcPr>
            <w:cnfStyle w:val="001000000000" w:firstRow="0" w:lastRow="0" w:firstColumn="1" w:lastColumn="0" w:oddVBand="0" w:evenVBand="0" w:oddHBand="0" w:evenHBand="0" w:firstRowFirstColumn="0" w:firstRowLastColumn="0" w:lastRowFirstColumn="0" w:lastRowLastColumn="0"/>
            <w:tcW w:w="2531" w:type="dxa"/>
          </w:tcPr>
          <w:p w14:paraId="4203C13D" w14:textId="77777777" w:rsidR="00C408AF" w:rsidRDefault="00C408AF" w:rsidP="0060329E">
            <w:pPr>
              <w:rPr>
                <w:b/>
              </w:rPr>
            </w:pPr>
            <w:r>
              <w:rPr>
                <w:b/>
              </w:rPr>
              <w:t>Carryover</w:t>
            </w:r>
          </w:p>
        </w:tc>
        <w:tc>
          <w:tcPr>
            <w:tcW w:w="6804" w:type="dxa"/>
            <w:tcBorders>
              <w:bottom w:val="nil"/>
            </w:tcBorders>
            <w:shd w:val="clear" w:color="auto" w:fill="FFFFFF" w:themeFill="background1"/>
          </w:tcPr>
          <w:p w14:paraId="251911DC" w14:textId="771CB2E7" w:rsidR="00C408AF" w:rsidRPr="003D1BE7" w:rsidRDefault="00C408AF" w:rsidP="00151237">
            <w:pPr>
              <w:cnfStyle w:val="000000000000" w:firstRow="0" w:lastRow="0" w:firstColumn="0" w:lastColumn="0" w:oddVBand="0" w:evenVBand="0" w:oddHBand="0" w:evenHBand="0" w:firstRowFirstColumn="0" w:firstRowLastColumn="0" w:lastRowFirstColumn="0" w:lastRowLastColumn="0"/>
            </w:pPr>
            <w:r>
              <w:t xml:space="preserve">Occurs where an annual appropriation amount for the previous year was not applied and where the Treasurer has approved the application of this amount in the next </w:t>
            </w:r>
            <w:r w:rsidR="00242C64">
              <w:t>financial</w:t>
            </w:r>
            <w:r>
              <w:t xml:space="preserve"> year, under </w:t>
            </w:r>
            <w:r w:rsidR="00151237">
              <w:t>s</w:t>
            </w:r>
            <w:r>
              <w:t xml:space="preserve">ection 32 of the FMA. Special </w:t>
            </w:r>
            <w:r w:rsidR="0054748A">
              <w:t xml:space="preserve">or </w:t>
            </w:r>
            <w:r>
              <w:t xml:space="preserve">standing appropriations are not impacted by the </w:t>
            </w:r>
            <w:r w:rsidR="00151237">
              <w:t>c</w:t>
            </w:r>
            <w:r>
              <w:t xml:space="preserve">arryover provisions. </w:t>
            </w:r>
          </w:p>
        </w:tc>
      </w:tr>
      <w:tr w:rsidR="00715F61" w14:paraId="3B09B6AE" w14:textId="77777777" w:rsidTr="00A63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16EB4937" w14:textId="77777777" w:rsidR="00715F61" w:rsidRDefault="00715F61" w:rsidP="0060329E">
            <w:pPr>
              <w:rPr>
                <w:b/>
              </w:rPr>
            </w:pPr>
            <w:r>
              <w:rPr>
                <w:b/>
              </w:rPr>
              <w:t>Competitive neutrality</w:t>
            </w:r>
          </w:p>
        </w:tc>
        <w:tc>
          <w:tcPr>
            <w:tcW w:w="6804" w:type="dxa"/>
            <w:tcBorders>
              <w:top w:val="nil"/>
              <w:bottom w:val="nil"/>
            </w:tcBorders>
            <w:shd w:val="clear" w:color="auto" w:fill="FFFFFF" w:themeFill="background1"/>
          </w:tcPr>
          <w:p w14:paraId="5B6489DC" w14:textId="77777777" w:rsidR="00715F61" w:rsidRDefault="00715F61" w:rsidP="00715F61">
            <w:pPr>
              <w:cnfStyle w:val="000000010000" w:firstRow="0" w:lastRow="0" w:firstColumn="0" w:lastColumn="0" w:oddVBand="0" w:evenVBand="0" w:oddHBand="0" w:evenHBand="1" w:firstRowFirstColumn="0" w:firstRowLastColumn="0" w:lastRowFirstColumn="0" w:lastRowLastColumn="0"/>
            </w:pPr>
            <w:r>
              <w:t>Involves achieving a fair market environment by removing or offsetting any competitive advantages or disadvantages due to public ownership of the government business.</w:t>
            </w:r>
          </w:p>
        </w:tc>
      </w:tr>
      <w:tr w:rsidR="00C408AF" w14:paraId="5EDBFBDC" w14:textId="77777777" w:rsidTr="00A63ED1">
        <w:tc>
          <w:tcPr>
            <w:cnfStyle w:val="001000000000" w:firstRow="0" w:lastRow="0" w:firstColumn="1" w:lastColumn="0" w:oddVBand="0" w:evenVBand="0" w:oddHBand="0" w:evenHBand="0" w:firstRowFirstColumn="0" w:firstRowLastColumn="0" w:lastRowFirstColumn="0" w:lastRowLastColumn="0"/>
            <w:tcW w:w="2531" w:type="dxa"/>
          </w:tcPr>
          <w:p w14:paraId="7EB2116A" w14:textId="77777777" w:rsidR="00C408AF" w:rsidRDefault="003D1BE7" w:rsidP="0060329E">
            <w:pPr>
              <w:rPr>
                <w:b/>
              </w:rPr>
            </w:pPr>
            <w:r>
              <w:rPr>
                <w:b/>
              </w:rPr>
              <w:t>Consolidated Fund</w:t>
            </w:r>
          </w:p>
        </w:tc>
        <w:tc>
          <w:tcPr>
            <w:tcW w:w="6804" w:type="dxa"/>
            <w:tcBorders>
              <w:top w:val="nil"/>
              <w:bottom w:val="nil"/>
            </w:tcBorders>
            <w:shd w:val="clear" w:color="auto" w:fill="FFFFFF" w:themeFill="background1"/>
          </w:tcPr>
          <w:p w14:paraId="10531868" w14:textId="045052C0" w:rsidR="00C408AF" w:rsidRPr="00A63ED1" w:rsidRDefault="003D1BE7" w:rsidP="00151237">
            <w:pPr>
              <w:cnfStyle w:val="000000000000" w:firstRow="0" w:lastRow="0" w:firstColumn="0" w:lastColumn="0" w:oddVBand="0" w:evenVBand="0" w:oddHBand="0" w:evenHBand="0" w:firstRowFirstColumn="0" w:firstRowLastColumn="0" w:lastRowFirstColumn="0" w:lastRowLastColumn="0"/>
            </w:pPr>
            <w:r>
              <w:t xml:space="preserve">The Government’s primary financial account, established by the FMA, </w:t>
            </w:r>
            <w:r w:rsidR="00CF14A1">
              <w:t>that</w:t>
            </w:r>
            <w:r>
              <w:t xml:space="preserve"> receives all Consolidated Revenue under the </w:t>
            </w:r>
            <w:r>
              <w:rPr>
                <w:i/>
              </w:rPr>
              <w:t>Constitution Act 1975</w:t>
            </w:r>
            <w:r w:rsidR="0054748A">
              <w:rPr>
                <w:i/>
              </w:rPr>
              <w:t xml:space="preserve"> </w:t>
            </w:r>
            <w:r w:rsidR="0054748A" w:rsidRPr="00011F5A">
              <w:t xml:space="preserve">and other monies as defined in </w:t>
            </w:r>
            <w:r w:rsidR="00151237">
              <w:t>s</w:t>
            </w:r>
            <w:r w:rsidR="0054748A" w:rsidRPr="00011F5A">
              <w:t>ection 9 of the FMA</w:t>
            </w:r>
            <w:r w:rsidR="00205156">
              <w:rPr>
                <w:i/>
              </w:rPr>
              <w:t>.</w:t>
            </w:r>
          </w:p>
        </w:tc>
      </w:tr>
      <w:tr w:rsidR="003D1BE7" w14:paraId="4564434A" w14:textId="77777777" w:rsidTr="00A63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385A1BF6" w14:textId="77777777" w:rsidR="003D1BE7" w:rsidRDefault="003D1BE7" w:rsidP="0060329E">
            <w:pPr>
              <w:rPr>
                <w:b/>
              </w:rPr>
            </w:pPr>
            <w:r>
              <w:rPr>
                <w:b/>
              </w:rPr>
              <w:t>Contributed Capital</w:t>
            </w:r>
          </w:p>
        </w:tc>
        <w:tc>
          <w:tcPr>
            <w:tcW w:w="6804" w:type="dxa"/>
            <w:tcBorders>
              <w:top w:val="nil"/>
              <w:bottom w:val="nil"/>
            </w:tcBorders>
            <w:shd w:val="clear" w:color="auto" w:fill="FFFFFF" w:themeFill="background1"/>
          </w:tcPr>
          <w:p w14:paraId="73EF7B90" w14:textId="40FE764A" w:rsidR="003D1BE7" w:rsidRPr="00A63ED1" w:rsidRDefault="003D1BE7" w:rsidP="0054748A">
            <w:pPr>
              <w:cnfStyle w:val="000000010000" w:firstRow="0" w:lastRow="0" w:firstColumn="0" w:lastColumn="0" w:oddVBand="0" w:evenVBand="0" w:oddHBand="0" w:evenHBand="1" w:firstRowFirstColumn="0" w:firstRowLastColumn="0" w:lastRowFirstColumn="0" w:lastRowLastColumn="0"/>
            </w:pPr>
            <w:r>
              <w:t xml:space="preserve">The recognition and reporting of the investment </w:t>
            </w:r>
            <w:r w:rsidR="0054748A">
              <w:t>by the State in</w:t>
            </w:r>
            <w:r>
              <w:t xml:space="preserve"> </w:t>
            </w:r>
            <w:r w:rsidR="000678BA">
              <w:t>Department</w:t>
            </w:r>
            <w:r w:rsidR="0054748A">
              <w:t>s</w:t>
            </w:r>
            <w:r w:rsidR="000678BA">
              <w:t xml:space="preserve"> </w:t>
            </w:r>
            <w:r w:rsidR="0054748A">
              <w:t>and their</w:t>
            </w:r>
            <w:r w:rsidR="000678BA">
              <w:t xml:space="preserve"> </w:t>
            </w:r>
            <w:r>
              <w:t>portfolio agenc</w:t>
            </w:r>
            <w:r w:rsidR="000678BA">
              <w:t>ies</w:t>
            </w:r>
            <w:r>
              <w:t xml:space="preserve">, </w:t>
            </w:r>
            <w:r w:rsidR="0054748A">
              <w:t xml:space="preserve">as </w:t>
            </w:r>
            <w:r>
              <w:t xml:space="preserve">reflected in </w:t>
            </w:r>
            <w:r w:rsidR="00A63ED1">
              <w:t xml:space="preserve">a Department’s </w:t>
            </w:r>
            <w:r w:rsidR="0054748A">
              <w:t>financial statements</w:t>
            </w:r>
            <w:r w:rsidR="00A63ED1">
              <w:t>.</w:t>
            </w:r>
          </w:p>
        </w:tc>
      </w:tr>
      <w:tr w:rsidR="003D1BE7" w14:paraId="51C8BC92" w14:textId="77777777" w:rsidTr="00A63ED1">
        <w:tc>
          <w:tcPr>
            <w:cnfStyle w:val="001000000000" w:firstRow="0" w:lastRow="0" w:firstColumn="1" w:lastColumn="0" w:oddVBand="0" w:evenVBand="0" w:oddHBand="0" w:evenHBand="0" w:firstRowFirstColumn="0" w:firstRowLastColumn="0" w:lastRowFirstColumn="0" w:lastRowLastColumn="0"/>
            <w:tcW w:w="2531" w:type="dxa"/>
          </w:tcPr>
          <w:p w14:paraId="32765104" w14:textId="77777777" w:rsidR="003D1BE7" w:rsidRDefault="003D1BE7" w:rsidP="0060329E">
            <w:pPr>
              <w:rPr>
                <w:b/>
              </w:rPr>
            </w:pPr>
            <w:r w:rsidRPr="000E2696">
              <w:rPr>
                <w:b/>
              </w:rPr>
              <w:t>Cont</w:t>
            </w:r>
            <w:r>
              <w:rPr>
                <w:b/>
              </w:rPr>
              <w:t>rolled item</w:t>
            </w:r>
          </w:p>
        </w:tc>
        <w:tc>
          <w:tcPr>
            <w:tcW w:w="6804" w:type="dxa"/>
            <w:tcBorders>
              <w:top w:val="nil"/>
              <w:bottom w:val="nil"/>
            </w:tcBorders>
            <w:shd w:val="clear" w:color="auto" w:fill="FFFFFF" w:themeFill="background1"/>
          </w:tcPr>
          <w:p w14:paraId="000EC5D9" w14:textId="77777777" w:rsidR="003D1BE7" w:rsidRPr="00A63ED1" w:rsidRDefault="003D1BE7" w:rsidP="0060329E">
            <w:pPr>
              <w:cnfStyle w:val="000000000000" w:firstRow="0" w:lastRow="0" w:firstColumn="0" w:lastColumn="0" w:oddVBand="0" w:evenVBand="0" w:oddHBand="0" w:evenHBand="0" w:firstRowFirstColumn="0" w:firstRowLastColumn="0" w:lastRowFirstColumn="0" w:lastRowLastColumn="0"/>
            </w:pPr>
            <w:r>
              <w:t>G</w:t>
            </w:r>
            <w:r w:rsidRPr="00B77452">
              <w:t xml:space="preserve">enerally refers to the capacity of a </w:t>
            </w:r>
            <w:r>
              <w:t>D</w:t>
            </w:r>
            <w:r w:rsidRPr="00B77452">
              <w:t>epartment to benefit from that item in the pursuit of the entity’s objectives and to deny or regulate the access of others to that benefit</w:t>
            </w:r>
            <w:r w:rsidR="00A63ED1">
              <w:t>.</w:t>
            </w:r>
          </w:p>
        </w:tc>
      </w:tr>
      <w:tr w:rsidR="003D1BE7" w14:paraId="3DD9C823" w14:textId="77777777" w:rsidTr="00A63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Borders>
              <w:bottom w:val="nil"/>
            </w:tcBorders>
          </w:tcPr>
          <w:p w14:paraId="1CF7035C" w14:textId="77777777" w:rsidR="003D1BE7" w:rsidRDefault="003D1BE7" w:rsidP="0060329E">
            <w:pPr>
              <w:rPr>
                <w:b/>
              </w:rPr>
            </w:pPr>
            <w:r>
              <w:rPr>
                <w:b/>
              </w:rPr>
              <w:t>Department</w:t>
            </w:r>
          </w:p>
        </w:tc>
        <w:tc>
          <w:tcPr>
            <w:tcW w:w="6804" w:type="dxa"/>
            <w:tcBorders>
              <w:top w:val="nil"/>
              <w:bottom w:val="nil"/>
            </w:tcBorders>
            <w:shd w:val="clear" w:color="auto" w:fill="FFFFFF" w:themeFill="background1"/>
          </w:tcPr>
          <w:p w14:paraId="4B48AB20" w14:textId="18834BC5" w:rsidR="003D1BE7" w:rsidRPr="00A63ED1" w:rsidRDefault="003D1BE7" w:rsidP="00151237">
            <w:pPr>
              <w:cnfStyle w:val="000000010000" w:firstRow="0" w:lastRow="0" w:firstColumn="0" w:lastColumn="0" w:oddVBand="0" w:evenVBand="0" w:oddHBand="0" w:evenHBand="1" w:firstRowFirstColumn="0" w:firstRowLastColumn="0" w:lastRowFirstColumn="0" w:lastRowLastColumn="0"/>
            </w:pPr>
            <w:r>
              <w:t xml:space="preserve">Has the same meaning as para (a) of </w:t>
            </w:r>
            <w:r>
              <w:rPr>
                <w:i/>
              </w:rPr>
              <w:t xml:space="preserve">department </w:t>
            </w:r>
            <w:r>
              <w:t xml:space="preserve">in </w:t>
            </w:r>
            <w:r w:rsidR="00151237">
              <w:t>s</w:t>
            </w:r>
            <w:r>
              <w:t>ection 3 of the FMA</w:t>
            </w:r>
            <w:r w:rsidR="00A63ED1">
              <w:t xml:space="preserve">. </w:t>
            </w:r>
          </w:p>
        </w:tc>
      </w:tr>
      <w:tr w:rsidR="003D1BE7" w14:paraId="509B63DC" w14:textId="77777777" w:rsidTr="00A63ED1">
        <w:tc>
          <w:tcPr>
            <w:cnfStyle w:val="001000000000" w:firstRow="0" w:lastRow="0" w:firstColumn="1" w:lastColumn="0" w:oddVBand="0" w:evenVBand="0" w:oddHBand="0" w:evenHBand="0" w:firstRowFirstColumn="0" w:firstRowLastColumn="0" w:lastRowFirstColumn="0" w:lastRowLastColumn="0"/>
            <w:tcW w:w="2531" w:type="dxa"/>
            <w:tcBorders>
              <w:bottom w:val="nil"/>
            </w:tcBorders>
          </w:tcPr>
          <w:p w14:paraId="66DFB490" w14:textId="77777777" w:rsidR="003D1BE7" w:rsidRDefault="003D1BE7" w:rsidP="0060329E">
            <w:pPr>
              <w:rPr>
                <w:b/>
              </w:rPr>
            </w:pPr>
            <w:r>
              <w:rPr>
                <w:b/>
              </w:rPr>
              <w:t>Depreciation</w:t>
            </w:r>
          </w:p>
        </w:tc>
        <w:tc>
          <w:tcPr>
            <w:tcW w:w="6804" w:type="dxa"/>
            <w:tcBorders>
              <w:top w:val="nil"/>
              <w:bottom w:val="nil"/>
            </w:tcBorders>
            <w:shd w:val="clear" w:color="auto" w:fill="FFFFFF" w:themeFill="background1"/>
          </w:tcPr>
          <w:p w14:paraId="2F1EEDF4" w14:textId="77777777" w:rsidR="003D1BE7" w:rsidRPr="00A63ED1" w:rsidRDefault="003D1BE7" w:rsidP="00C97607">
            <w:pPr>
              <w:cnfStyle w:val="000000000000" w:firstRow="0" w:lastRow="0" w:firstColumn="0" w:lastColumn="0" w:oddVBand="0" w:evenVBand="0" w:oddHBand="0" w:evenHBand="0" w:firstRowFirstColumn="0" w:firstRowLastColumn="0" w:lastRowFirstColumn="0" w:lastRowLastColumn="0"/>
            </w:pPr>
            <w:r>
              <w:t xml:space="preserve">The systematic allocation of the </w:t>
            </w:r>
            <w:r w:rsidR="00C97607">
              <w:t xml:space="preserve">cost </w:t>
            </w:r>
            <w:r>
              <w:t>of a</w:t>
            </w:r>
            <w:r w:rsidR="00C97607">
              <w:t xml:space="preserve"> tangible</w:t>
            </w:r>
            <w:r>
              <w:t xml:space="preserve"> asset over its useful life. </w:t>
            </w:r>
          </w:p>
        </w:tc>
      </w:tr>
      <w:tr w:rsidR="003D1BE7" w14:paraId="1A83AF83" w14:textId="77777777" w:rsidTr="00A63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Borders>
              <w:top w:val="nil"/>
              <w:bottom w:val="nil"/>
            </w:tcBorders>
          </w:tcPr>
          <w:p w14:paraId="7452CDEE" w14:textId="77777777" w:rsidR="003D1BE7" w:rsidRDefault="003D1BE7" w:rsidP="0060329E">
            <w:pPr>
              <w:rPr>
                <w:b/>
              </w:rPr>
            </w:pPr>
            <w:r w:rsidRPr="000E2696">
              <w:rPr>
                <w:b/>
              </w:rPr>
              <w:t>Depreciation equivalent asset investment funding</w:t>
            </w:r>
          </w:p>
        </w:tc>
        <w:tc>
          <w:tcPr>
            <w:tcW w:w="6804" w:type="dxa"/>
            <w:tcBorders>
              <w:top w:val="nil"/>
              <w:bottom w:val="nil"/>
            </w:tcBorders>
            <w:shd w:val="clear" w:color="auto" w:fill="FFFFFF" w:themeFill="background1"/>
          </w:tcPr>
          <w:p w14:paraId="27B30997" w14:textId="617C7F7F" w:rsidR="003D1BE7" w:rsidRPr="00A63ED1" w:rsidRDefault="003D1BE7" w:rsidP="00E67D3C">
            <w:pPr>
              <w:cnfStyle w:val="000000010000" w:firstRow="0" w:lastRow="0" w:firstColumn="0" w:lastColumn="0" w:oddVBand="0" w:evenVBand="0" w:oddHBand="0" w:evenHBand="1" w:firstRowFirstColumn="0" w:firstRowLastColumn="0" w:lastRowFirstColumn="0" w:lastRowLastColumn="0"/>
            </w:pPr>
            <w:r>
              <w:t>The</w:t>
            </w:r>
            <w:r w:rsidRPr="00B25264">
              <w:t xml:space="preserve"> quantum of funds equal to actual depreciation expense which is provided to a </w:t>
            </w:r>
            <w:r>
              <w:t>D</w:t>
            </w:r>
            <w:r w:rsidRPr="00B25264">
              <w:t xml:space="preserve">epartment </w:t>
            </w:r>
            <w:r w:rsidR="00E67D3C">
              <w:t>as</w:t>
            </w:r>
            <w:r w:rsidR="00E67D3C" w:rsidRPr="00B25264">
              <w:t xml:space="preserve"> </w:t>
            </w:r>
            <w:r w:rsidRPr="00B25264">
              <w:t>output</w:t>
            </w:r>
            <w:r w:rsidR="00A63ED1">
              <w:t xml:space="preserve"> revenue for asset investment</w:t>
            </w:r>
            <w:r w:rsidR="00E67D3C">
              <w:t xml:space="preserve"> within its portfolio</w:t>
            </w:r>
            <w:r w:rsidR="00A63ED1">
              <w:t xml:space="preserve">. </w:t>
            </w:r>
          </w:p>
        </w:tc>
      </w:tr>
      <w:tr w:rsidR="003D1BE7" w14:paraId="57D55E47" w14:textId="77777777" w:rsidTr="00D92463">
        <w:tc>
          <w:tcPr>
            <w:cnfStyle w:val="001000000000" w:firstRow="0" w:lastRow="0" w:firstColumn="1" w:lastColumn="0" w:oddVBand="0" w:evenVBand="0" w:oddHBand="0" w:evenHBand="0" w:firstRowFirstColumn="0" w:firstRowLastColumn="0" w:lastRowFirstColumn="0" w:lastRowLastColumn="0"/>
            <w:tcW w:w="2531" w:type="dxa"/>
            <w:tcBorders>
              <w:bottom w:val="nil"/>
            </w:tcBorders>
          </w:tcPr>
          <w:p w14:paraId="48F0FD45" w14:textId="77777777" w:rsidR="003D1BE7" w:rsidRDefault="003D1BE7" w:rsidP="0060329E">
            <w:pPr>
              <w:rPr>
                <w:b/>
              </w:rPr>
            </w:pPr>
            <w:r w:rsidRPr="000E2696">
              <w:rPr>
                <w:b/>
              </w:rPr>
              <w:t>Equity in</w:t>
            </w:r>
            <w:r>
              <w:rPr>
                <w:b/>
              </w:rPr>
              <w:t>vestment in controlled entities</w:t>
            </w:r>
          </w:p>
        </w:tc>
        <w:tc>
          <w:tcPr>
            <w:tcW w:w="6804" w:type="dxa"/>
            <w:tcBorders>
              <w:top w:val="nil"/>
              <w:bottom w:val="nil"/>
            </w:tcBorders>
            <w:shd w:val="clear" w:color="auto" w:fill="FFFFFF" w:themeFill="background1"/>
          </w:tcPr>
          <w:p w14:paraId="6031213F" w14:textId="7FA8D1CB" w:rsidR="003D1BE7" w:rsidRPr="00A63ED1" w:rsidRDefault="003D1BE7" w:rsidP="00151237">
            <w:pPr>
              <w:cnfStyle w:val="000000000000" w:firstRow="0" w:lastRow="0" w:firstColumn="0" w:lastColumn="0" w:oddVBand="0" w:evenVBand="0" w:oddHBand="0" w:evenHBand="0" w:firstRowFirstColumn="0" w:firstRowLastColumn="0" w:lastRowFirstColumn="0" w:lastRowLastColumn="0"/>
            </w:pPr>
            <w:r>
              <w:t>Refers to the Government’s equity investment in a Department and other controlled entities of the S</w:t>
            </w:r>
            <w:r w:rsidR="00A63ED1">
              <w:t>tate, in its capacity as owner</w:t>
            </w:r>
            <w:r w:rsidR="00E67D3C">
              <w:t xml:space="preserve"> (</w:t>
            </w:r>
            <w:r w:rsidR="00151237">
              <w:t xml:space="preserve">Refer to </w:t>
            </w:r>
            <w:r w:rsidR="00E67D3C">
              <w:t xml:space="preserve">Contributed Capital </w:t>
            </w:r>
            <w:r w:rsidR="00151237">
              <w:t>also</w:t>
            </w:r>
            <w:r w:rsidR="00E67D3C">
              <w:t>)</w:t>
            </w:r>
            <w:r w:rsidR="00B92B94">
              <w:t>.</w:t>
            </w:r>
          </w:p>
        </w:tc>
      </w:tr>
      <w:tr w:rsidR="003D1BE7" w14:paraId="27C63599" w14:textId="77777777" w:rsidTr="00D924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Borders>
              <w:top w:val="nil"/>
              <w:bottom w:val="nil"/>
            </w:tcBorders>
          </w:tcPr>
          <w:p w14:paraId="34ACED9E" w14:textId="77777777" w:rsidR="003D1BE7" w:rsidRPr="000678BA" w:rsidRDefault="003D1BE7" w:rsidP="0060329E">
            <w:pPr>
              <w:rPr>
                <w:b/>
              </w:rPr>
            </w:pPr>
            <w:r w:rsidRPr="000E2696">
              <w:rPr>
                <w:b/>
                <w:i/>
              </w:rPr>
              <w:t xml:space="preserve">Financial </w:t>
            </w:r>
            <w:r>
              <w:rPr>
                <w:b/>
                <w:i/>
              </w:rPr>
              <w:t>Management Act 1994</w:t>
            </w:r>
            <w:r w:rsidR="000678BA">
              <w:rPr>
                <w:b/>
                <w:i/>
              </w:rPr>
              <w:t xml:space="preserve"> </w:t>
            </w:r>
            <w:r w:rsidR="000678BA">
              <w:rPr>
                <w:b/>
              </w:rPr>
              <w:t>(FMA)</w:t>
            </w:r>
          </w:p>
        </w:tc>
        <w:tc>
          <w:tcPr>
            <w:tcW w:w="6804" w:type="dxa"/>
            <w:tcBorders>
              <w:top w:val="nil"/>
              <w:bottom w:val="nil"/>
            </w:tcBorders>
            <w:shd w:val="clear" w:color="auto" w:fill="FFFFFF" w:themeFill="background1"/>
          </w:tcPr>
          <w:p w14:paraId="69249F09" w14:textId="77777777" w:rsidR="003D1BE7" w:rsidRDefault="003D1BE7" w:rsidP="003D1BE7">
            <w:pPr>
              <w:cnfStyle w:val="000000010000" w:firstRow="0" w:lastRow="0" w:firstColumn="0" w:lastColumn="0" w:oddVBand="0" w:evenVBand="0" w:oddHBand="0" w:evenHBand="1" w:firstRowFirstColumn="0" w:firstRowLastColumn="0" w:lastRowFirstColumn="0" w:lastRowLastColumn="0"/>
            </w:pPr>
            <w:r>
              <w:t xml:space="preserve">One of the key pieces of legislation underpinning the Financial Management Framework of Victoria. </w:t>
            </w:r>
            <w:r w:rsidRPr="00DC342E">
              <w:t>The purposes of this Act are</w:t>
            </w:r>
            <w:r>
              <w:t>:</w:t>
            </w:r>
            <w:r w:rsidRPr="00DC342E">
              <w:t xml:space="preserve"> </w:t>
            </w:r>
          </w:p>
          <w:p w14:paraId="3CF617E7" w14:textId="77777777" w:rsidR="003D1BE7" w:rsidRPr="003D1BE7" w:rsidRDefault="003D1BE7" w:rsidP="00DA412B">
            <w:pPr>
              <w:pStyle w:val="ListParagraph"/>
              <w:numPr>
                <w:ilvl w:val="0"/>
                <w:numId w:val="20"/>
              </w:numPr>
              <w:cnfStyle w:val="000000010000" w:firstRow="0" w:lastRow="0" w:firstColumn="0" w:lastColumn="0" w:oddVBand="0" w:evenVBand="0" w:oddHBand="0" w:evenHBand="1" w:firstRowFirstColumn="0" w:firstRowLastColumn="0" w:lastRowFirstColumn="0" w:lastRowLastColumn="0"/>
            </w:pPr>
            <w:r w:rsidRPr="003D1BE7">
              <w:t xml:space="preserve">to improve financial administration of the public sector; </w:t>
            </w:r>
          </w:p>
          <w:p w14:paraId="47FFC785" w14:textId="77777777" w:rsidR="003D1BE7" w:rsidRDefault="003D1BE7" w:rsidP="00DA412B">
            <w:pPr>
              <w:pStyle w:val="ListParagraph"/>
              <w:numPr>
                <w:ilvl w:val="0"/>
                <w:numId w:val="20"/>
              </w:numPr>
              <w:cnfStyle w:val="000000010000" w:firstRow="0" w:lastRow="0" w:firstColumn="0" w:lastColumn="0" w:oddVBand="0" w:evenVBand="0" w:oddHBand="0" w:evenHBand="1" w:firstRowFirstColumn="0" w:firstRowLastColumn="0" w:lastRowFirstColumn="0" w:lastRowLastColumn="0"/>
            </w:pPr>
            <w:r w:rsidRPr="003D1BE7">
              <w:t>to make better provision for the accountab</w:t>
            </w:r>
            <w:r>
              <w:t>ility of the public sector; and</w:t>
            </w:r>
          </w:p>
          <w:p w14:paraId="3A96018C" w14:textId="77777777" w:rsidR="003D1BE7" w:rsidRPr="00A63ED1" w:rsidRDefault="003D1BE7" w:rsidP="00DA412B">
            <w:pPr>
              <w:pStyle w:val="ListParagraph"/>
              <w:numPr>
                <w:ilvl w:val="0"/>
                <w:numId w:val="20"/>
              </w:numPr>
              <w:cnfStyle w:val="000000010000" w:firstRow="0" w:lastRow="0" w:firstColumn="0" w:lastColumn="0" w:oddVBand="0" w:evenVBand="0" w:oddHBand="0" w:evenHBand="1" w:firstRowFirstColumn="0" w:firstRowLastColumn="0" w:lastRowFirstColumn="0" w:lastRowLastColumn="0"/>
            </w:pPr>
            <w:r w:rsidRPr="003D1BE7">
              <w:t xml:space="preserve">to provide for annual reporting to the Parliament by Departments and public sector bodies. </w:t>
            </w:r>
          </w:p>
        </w:tc>
      </w:tr>
      <w:tr w:rsidR="003D1BE7" w14:paraId="79E956B6" w14:textId="77777777" w:rsidTr="00D92463">
        <w:tc>
          <w:tcPr>
            <w:cnfStyle w:val="001000000000" w:firstRow="0" w:lastRow="0" w:firstColumn="1" w:lastColumn="0" w:oddVBand="0" w:evenVBand="0" w:oddHBand="0" w:evenHBand="0" w:firstRowFirstColumn="0" w:firstRowLastColumn="0" w:lastRowFirstColumn="0" w:lastRowLastColumn="0"/>
            <w:tcW w:w="2531" w:type="dxa"/>
            <w:tcBorders>
              <w:top w:val="nil"/>
            </w:tcBorders>
          </w:tcPr>
          <w:p w14:paraId="7A02EAF9" w14:textId="77777777" w:rsidR="003D1BE7" w:rsidRDefault="00A63ED1" w:rsidP="0060329E">
            <w:pPr>
              <w:rPr>
                <w:b/>
              </w:rPr>
            </w:pPr>
            <w:r>
              <w:rPr>
                <w:b/>
              </w:rPr>
              <w:lastRenderedPageBreak/>
              <w:t>Long service leave equivalent</w:t>
            </w:r>
          </w:p>
        </w:tc>
        <w:tc>
          <w:tcPr>
            <w:tcW w:w="6804" w:type="dxa"/>
            <w:tcBorders>
              <w:top w:val="nil"/>
              <w:bottom w:val="nil"/>
            </w:tcBorders>
            <w:shd w:val="clear" w:color="auto" w:fill="FFFFFF" w:themeFill="background1"/>
          </w:tcPr>
          <w:p w14:paraId="5CFD3BBB" w14:textId="77777777" w:rsidR="003D1BE7" w:rsidRPr="00A63ED1" w:rsidRDefault="00A63ED1" w:rsidP="0060329E">
            <w:pPr>
              <w:cnfStyle w:val="000000000000" w:firstRow="0" w:lastRow="0" w:firstColumn="0" w:lastColumn="0" w:oddVBand="0" w:evenVBand="0" w:oddHBand="0" w:evenHBand="0" w:firstRowFirstColumn="0" w:firstRowLastColumn="0" w:lastRowFirstColumn="0" w:lastRowLastColumn="0"/>
            </w:pPr>
            <w:r>
              <w:t>The quantum of funds equal to actual long service leave expense, which is provided to a Department from output revenue for paying out long service leave entitlements drawn down by employees.</w:t>
            </w:r>
          </w:p>
        </w:tc>
      </w:tr>
      <w:tr w:rsidR="003D1BE7" w14:paraId="1011AAF7" w14:textId="77777777" w:rsidTr="00A63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07B085E6" w14:textId="77777777" w:rsidR="003D1BE7" w:rsidRDefault="00A63ED1" w:rsidP="0060329E">
            <w:pPr>
              <w:rPr>
                <w:b/>
              </w:rPr>
            </w:pPr>
            <w:r w:rsidRPr="000E2696">
              <w:rPr>
                <w:b/>
              </w:rPr>
              <w:t>Long service leave expense</w:t>
            </w:r>
          </w:p>
        </w:tc>
        <w:tc>
          <w:tcPr>
            <w:tcW w:w="6804" w:type="dxa"/>
            <w:tcBorders>
              <w:top w:val="nil"/>
              <w:bottom w:val="nil"/>
            </w:tcBorders>
            <w:shd w:val="clear" w:color="auto" w:fill="FFFFFF" w:themeFill="background1"/>
          </w:tcPr>
          <w:p w14:paraId="1A0D6CBF" w14:textId="77777777" w:rsidR="003D1BE7" w:rsidRPr="00A63ED1" w:rsidRDefault="00A63ED1" w:rsidP="0060329E">
            <w:pPr>
              <w:cnfStyle w:val="000000010000" w:firstRow="0" w:lastRow="0" w:firstColumn="0" w:lastColumn="0" w:oddVBand="0" w:evenVBand="0" w:oddHBand="0" w:evenHBand="1" w:firstRowFirstColumn="0" w:firstRowLastColumn="0" w:lastRowFirstColumn="0" w:lastRowLastColumn="0"/>
            </w:pPr>
            <w:r>
              <w:t>Recognises long service leave accrued by employees during the reporting period. Referred to as a non-cash cost.</w:t>
            </w:r>
          </w:p>
        </w:tc>
      </w:tr>
      <w:tr w:rsidR="000678BA" w14:paraId="4F1229F4" w14:textId="77777777" w:rsidTr="00A63ED1">
        <w:tc>
          <w:tcPr>
            <w:cnfStyle w:val="001000000000" w:firstRow="0" w:lastRow="0" w:firstColumn="1" w:lastColumn="0" w:oddVBand="0" w:evenVBand="0" w:oddHBand="0" w:evenHBand="0" w:firstRowFirstColumn="0" w:firstRowLastColumn="0" w:lastRowFirstColumn="0" w:lastRowLastColumn="0"/>
            <w:tcW w:w="2531" w:type="dxa"/>
          </w:tcPr>
          <w:p w14:paraId="10D87577" w14:textId="77777777" w:rsidR="000678BA" w:rsidRDefault="000678BA" w:rsidP="000678BA">
            <w:pPr>
              <w:rPr>
                <w:b/>
              </w:rPr>
            </w:pPr>
            <w:r>
              <w:rPr>
                <w:b/>
              </w:rPr>
              <w:t>National Partnership payments (NPs)</w:t>
            </w:r>
          </w:p>
        </w:tc>
        <w:tc>
          <w:tcPr>
            <w:tcW w:w="6804" w:type="dxa"/>
            <w:tcBorders>
              <w:top w:val="nil"/>
              <w:bottom w:val="nil"/>
            </w:tcBorders>
            <w:shd w:val="clear" w:color="auto" w:fill="FFFFFF" w:themeFill="background1"/>
          </w:tcPr>
          <w:p w14:paraId="5B1EFE64" w14:textId="77777777" w:rsidR="000678BA" w:rsidRDefault="00EF2D69" w:rsidP="002A5B89">
            <w:pPr>
              <w:cnfStyle w:val="000000000000" w:firstRow="0" w:lastRow="0" w:firstColumn="0" w:lastColumn="0" w:oddVBand="0" w:evenVBand="0" w:oddHBand="0" w:evenHBand="0" w:firstRowFirstColumn="0" w:firstRowLastColumn="0" w:lastRowFirstColumn="0" w:lastRowLastColumn="0"/>
            </w:pPr>
            <w:r>
              <w:t>A type of Commonwealt</w:t>
            </w:r>
            <w:r w:rsidR="00E63A1F">
              <w:t>h grant for a specific purpose (i</w:t>
            </w:r>
            <w:r w:rsidR="00BE5770">
              <w:t>.</w:t>
            </w:r>
            <w:r w:rsidR="00E63A1F">
              <w:t xml:space="preserve">e. </w:t>
            </w:r>
            <w:r w:rsidR="002A5B89">
              <w:t xml:space="preserve">paid by the Commonwealth to </w:t>
            </w:r>
            <w:r w:rsidR="007B0F02">
              <w:t xml:space="preserve">support </w:t>
            </w:r>
            <w:r w:rsidR="00E63A1F">
              <w:t>the delivery of specific</w:t>
            </w:r>
            <w:r w:rsidRPr="00EF2D69">
              <w:t xml:space="preserve"> projects, </w:t>
            </w:r>
            <w:r w:rsidR="007B0F02">
              <w:t>facilitate reforms, or reward jurisdictions that deliver on nationally significant reforms</w:t>
            </w:r>
            <w:r w:rsidR="00E63A1F">
              <w:t>). Refer also to Specific Purpose Payments (SPPs).</w:t>
            </w:r>
          </w:p>
        </w:tc>
      </w:tr>
      <w:tr w:rsidR="003D1BE7" w14:paraId="21D405C0" w14:textId="77777777" w:rsidTr="00A63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06E05780" w14:textId="77777777" w:rsidR="003D1BE7" w:rsidRDefault="00A63ED1" w:rsidP="0060329E">
            <w:pPr>
              <w:rPr>
                <w:b/>
              </w:rPr>
            </w:pPr>
            <w:r>
              <w:rPr>
                <w:b/>
              </w:rPr>
              <w:t>Outputs</w:t>
            </w:r>
          </w:p>
        </w:tc>
        <w:tc>
          <w:tcPr>
            <w:tcW w:w="6804" w:type="dxa"/>
            <w:tcBorders>
              <w:top w:val="nil"/>
              <w:bottom w:val="nil"/>
            </w:tcBorders>
            <w:shd w:val="clear" w:color="auto" w:fill="FFFFFF" w:themeFill="background1"/>
          </w:tcPr>
          <w:p w14:paraId="67898584" w14:textId="77777777" w:rsidR="003D1BE7" w:rsidRPr="00A63ED1" w:rsidRDefault="00A63ED1" w:rsidP="0060329E">
            <w:pPr>
              <w:cnfStyle w:val="000000010000" w:firstRow="0" w:lastRow="0" w:firstColumn="0" w:lastColumn="0" w:oddVBand="0" w:evenVBand="0" w:oddHBand="0" w:evenHBand="1" w:firstRowFirstColumn="0" w:firstRowLastColumn="0" w:lastRowFirstColumn="0" w:lastRowLastColumn="0"/>
            </w:pPr>
            <w:r>
              <w:t>A</w:t>
            </w:r>
            <w:r w:rsidRPr="00B25264">
              <w:t xml:space="preserve">re products or services produced or delivered by a </w:t>
            </w:r>
            <w:r>
              <w:t>D</w:t>
            </w:r>
            <w:r w:rsidRPr="00B25264">
              <w:t>epartment/</w:t>
            </w:r>
            <w:r>
              <w:t xml:space="preserve">agency for external customers. </w:t>
            </w:r>
          </w:p>
        </w:tc>
      </w:tr>
      <w:tr w:rsidR="003D1BE7" w14:paraId="78BBD4DD" w14:textId="77777777" w:rsidTr="00A63ED1">
        <w:tc>
          <w:tcPr>
            <w:cnfStyle w:val="001000000000" w:firstRow="0" w:lastRow="0" w:firstColumn="1" w:lastColumn="0" w:oddVBand="0" w:evenVBand="0" w:oddHBand="0" w:evenHBand="0" w:firstRowFirstColumn="0" w:firstRowLastColumn="0" w:lastRowFirstColumn="0" w:lastRowLastColumn="0"/>
            <w:tcW w:w="2531" w:type="dxa"/>
          </w:tcPr>
          <w:p w14:paraId="5DED66B2" w14:textId="77777777" w:rsidR="003D1BE7" w:rsidRDefault="00A63ED1" w:rsidP="0060329E">
            <w:pPr>
              <w:rPr>
                <w:b/>
              </w:rPr>
            </w:pPr>
            <w:r w:rsidRPr="000E2696">
              <w:rPr>
                <w:b/>
              </w:rPr>
              <w:t>Payments on behalf of the State (POBOS)</w:t>
            </w:r>
          </w:p>
        </w:tc>
        <w:tc>
          <w:tcPr>
            <w:tcW w:w="6804" w:type="dxa"/>
            <w:tcBorders>
              <w:top w:val="nil"/>
              <w:bottom w:val="nil"/>
            </w:tcBorders>
            <w:shd w:val="clear" w:color="auto" w:fill="FFFFFF" w:themeFill="background1"/>
          </w:tcPr>
          <w:p w14:paraId="7789B398" w14:textId="7EA79A8C" w:rsidR="003D1BE7" w:rsidRPr="00A63ED1" w:rsidRDefault="00A63ED1" w:rsidP="0060329E">
            <w:pPr>
              <w:cnfStyle w:val="000000000000" w:firstRow="0" w:lastRow="0" w:firstColumn="0" w:lastColumn="0" w:oddVBand="0" w:evenVBand="0" w:oddHBand="0" w:evenHBand="0" w:firstRowFirstColumn="0" w:firstRowLastColumn="0" w:lastRowFirstColumn="0" w:lastRowLastColumn="0"/>
              <w:rPr>
                <w:i/>
              </w:rPr>
            </w:pPr>
            <w:r w:rsidRPr="0009433D">
              <w:t xml:space="preserve">An appropriation </w:t>
            </w:r>
            <w:r w:rsidR="009C2A64">
              <w:t>that</w:t>
            </w:r>
            <w:r w:rsidR="00F040AA">
              <w:t xml:space="preserve"> </w:t>
            </w:r>
            <w:r w:rsidRPr="0009433D">
              <w:t xml:space="preserve">provides for payments to be made on behalf of the State. The </w:t>
            </w:r>
            <w:r>
              <w:t>D</w:t>
            </w:r>
            <w:r w:rsidRPr="0009433D">
              <w:t>epartment making the payment has no direct control with respect to the quantity of outputs delivered.</w:t>
            </w:r>
          </w:p>
        </w:tc>
      </w:tr>
      <w:tr w:rsidR="003D1BE7" w14:paraId="280CDEE9" w14:textId="77777777" w:rsidTr="00A63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58E20BDC" w14:textId="77777777" w:rsidR="003D1BE7" w:rsidRDefault="00A63ED1" w:rsidP="0060329E">
            <w:pPr>
              <w:rPr>
                <w:b/>
              </w:rPr>
            </w:pPr>
            <w:r>
              <w:rPr>
                <w:b/>
              </w:rPr>
              <w:t>Price</w:t>
            </w:r>
          </w:p>
        </w:tc>
        <w:tc>
          <w:tcPr>
            <w:tcW w:w="6804" w:type="dxa"/>
            <w:tcBorders>
              <w:top w:val="nil"/>
              <w:bottom w:val="nil"/>
            </w:tcBorders>
            <w:shd w:val="clear" w:color="auto" w:fill="FFFFFF" w:themeFill="background1"/>
          </w:tcPr>
          <w:p w14:paraId="72EDCE36" w14:textId="77777777" w:rsidR="003D1BE7" w:rsidRPr="00A63ED1" w:rsidRDefault="00A63ED1" w:rsidP="00242C64">
            <w:pPr>
              <w:cnfStyle w:val="000000010000" w:firstRow="0" w:lastRow="0" w:firstColumn="0" w:lastColumn="0" w:oddVBand="0" w:evenVBand="0" w:oddHBand="0" w:evenHBand="1" w:firstRowFirstColumn="0" w:firstRowLastColumn="0" w:lastRowFirstColumn="0" w:lastRowLastColumn="0"/>
            </w:pPr>
            <w:r>
              <w:t>T</w:t>
            </w:r>
            <w:r w:rsidRPr="00B25264">
              <w:t>he amount that Government is prepared to pay for the provision of an output with s</w:t>
            </w:r>
            <w:r w:rsidR="00242C64">
              <w:t xml:space="preserve">pecified measurable attributes </w:t>
            </w:r>
            <w:r w:rsidRPr="00B25264">
              <w:t xml:space="preserve">and </w:t>
            </w:r>
            <w:r w:rsidR="00242C64">
              <w:t xml:space="preserve">other </w:t>
            </w:r>
            <w:r w:rsidRPr="00B25264">
              <w:t>attributes.</w:t>
            </w:r>
          </w:p>
        </w:tc>
      </w:tr>
      <w:tr w:rsidR="003D1BE7" w14:paraId="03FD985B" w14:textId="77777777" w:rsidTr="00A63ED1">
        <w:tc>
          <w:tcPr>
            <w:cnfStyle w:val="001000000000" w:firstRow="0" w:lastRow="0" w:firstColumn="1" w:lastColumn="0" w:oddVBand="0" w:evenVBand="0" w:oddHBand="0" w:evenHBand="0" w:firstRowFirstColumn="0" w:firstRowLastColumn="0" w:lastRowFirstColumn="0" w:lastRowLastColumn="0"/>
            <w:tcW w:w="2531" w:type="dxa"/>
          </w:tcPr>
          <w:p w14:paraId="10D05CB3" w14:textId="77777777" w:rsidR="003D1BE7" w:rsidRDefault="00A63ED1" w:rsidP="0060329E">
            <w:pPr>
              <w:rPr>
                <w:b/>
              </w:rPr>
            </w:pPr>
            <w:r w:rsidRPr="000E2696">
              <w:rPr>
                <w:b/>
              </w:rPr>
              <w:t>P</w:t>
            </w:r>
            <w:r>
              <w:rPr>
                <w:b/>
              </w:rPr>
              <w:t>rovision for Long Service Leave</w:t>
            </w:r>
          </w:p>
        </w:tc>
        <w:tc>
          <w:tcPr>
            <w:tcW w:w="6804" w:type="dxa"/>
            <w:tcBorders>
              <w:top w:val="nil"/>
              <w:bottom w:val="nil"/>
            </w:tcBorders>
            <w:shd w:val="clear" w:color="auto" w:fill="FFFFFF" w:themeFill="background1"/>
          </w:tcPr>
          <w:p w14:paraId="24810084" w14:textId="77777777" w:rsidR="003D1BE7" w:rsidRPr="00A63ED1" w:rsidRDefault="00A63ED1" w:rsidP="0060329E">
            <w:pPr>
              <w:cnfStyle w:val="000000000000" w:firstRow="0" w:lastRow="0" w:firstColumn="0" w:lastColumn="0" w:oddVBand="0" w:evenVBand="0" w:oddHBand="0" w:evenHBand="0" w:firstRowFirstColumn="0" w:firstRowLastColumn="0" w:lastRowFirstColumn="0" w:lastRowLastColumn="0"/>
            </w:pPr>
            <w:r>
              <w:t>An obligation (liability) of a Department to its employees for accrued outstanding long service leave.</w:t>
            </w:r>
          </w:p>
        </w:tc>
      </w:tr>
      <w:tr w:rsidR="003D1BE7" w14:paraId="4F498304" w14:textId="77777777" w:rsidTr="00A63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32CA8AB7" w14:textId="77777777" w:rsidR="003D1BE7" w:rsidRDefault="00A63ED1" w:rsidP="0060329E">
            <w:pPr>
              <w:rPr>
                <w:b/>
              </w:rPr>
            </w:pPr>
            <w:r>
              <w:rPr>
                <w:b/>
              </w:rPr>
              <w:t>Public Account</w:t>
            </w:r>
          </w:p>
        </w:tc>
        <w:tc>
          <w:tcPr>
            <w:tcW w:w="6804" w:type="dxa"/>
            <w:tcBorders>
              <w:top w:val="nil"/>
              <w:bottom w:val="nil"/>
            </w:tcBorders>
            <w:shd w:val="clear" w:color="auto" w:fill="FFFFFF" w:themeFill="background1"/>
          </w:tcPr>
          <w:p w14:paraId="1F38560A" w14:textId="7EE0F53A" w:rsidR="003D1BE7" w:rsidRPr="00A63ED1" w:rsidRDefault="00A63ED1" w:rsidP="009C2A64">
            <w:pPr>
              <w:cnfStyle w:val="000000010000" w:firstRow="0" w:lastRow="0" w:firstColumn="0" w:lastColumn="0" w:oddVBand="0" w:evenVBand="0" w:oddHBand="0" w:evenHBand="1" w:firstRowFirstColumn="0" w:firstRowLastColumn="0" w:lastRowFirstColumn="0" w:lastRowLastColumn="0"/>
            </w:pPr>
            <w:r>
              <w:t>T</w:t>
            </w:r>
            <w:r w:rsidRPr="00B25264">
              <w:t xml:space="preserve">he Government’s principal bank account. All </w:t>
            </w:r>
            <w:r>
              <w:t xml:space="preserve">cash </w:t>
            </w:r>
            <w:r w:rsidRPr="00B25264">
              <w:t xml:space="preserve">transactions relating to the Consolidated Fund, the Trust Fund and Advances under </w:t>
            </w:r>
            <w:r w:rsidR="009C2A64">
              <w:t>s</w:t>
            </w:r>
            <w:r w:rsidRPr="00B25264">
              <w:t>ection</w:t>
            </w:r>
            <w:r w:rsidR="00A57870">
              <w:t xml:space="preserve">s </w:t>
            </w:r>
            <w:r w:rsidRPr="00B25264">
              <w:t xml:space="preserve">36 </w:t>
            </w:r>
            <w:r>
              <w:t>and</w:t>
            </w:r>
            <w:r w:rsidRPr="00B25264">
              <w:t xml:space="preserve"> 37 </w:t>
            </w:r>
            <w:r>
              <w:t xml:space="preserve">of the FMA </w:t>
            </w:r>
            <w:r w:rsidRPr="00B25264">
              <w:t>are proces</w:t>
            </w:r>
            <w:r>
              <w:t>sed through the Public Account.</w:t>
            </w:r>
          </w:p>
        </w:tc>
      </w:tr>
      <w:tr w:rsidR="00A63ED1" w14:paraId="614D319B" w14:textId="77777777" w:rsidTr="00A63ED1">
        <w:tc>
          <w:tcPr>
            <w:cnfStyle w:val="001000000000" w:firstRow="0" w:lastRow="0" w:firstColumn="1" w:lastColumn="0" w:oddVBand="0" w:evenVBand="0" w:oddHBand="0" w:evenHBand="0" w:firstRowFirstColumn="0" w:firstRowLastColumn="0" w:lastRowFirstColumn="0" w:lastRowLastColumn="0"/>
            <w:tcW w:w="2531" w:type="dxa"/>
            <w:tcBorders>
              <w:bottom w:val="nil"/>
            </w:tcBorders>
          </w:tcPr>
          <w:p w14:paraId="523411EF" w14:textId="77777777" w:rsidR="00A63ED1" w:rsidRDefault="00A63ED1" w:rsidP="0060329E">
            <w:pPr>
              <w:rPr>
                <w:b/>
              </w:rPr>
            </w:pPr>
            <w:r>
              <w:rPr>
                <w:b/>
              </w:rPr>
              <w:t>Special Appropriations</w:t>
            </w:r>
          </w:p>
        </w:tc>
        <w:tc>
          <w:tcPr>
            <w:tcW w:w="6804" w:type="dxa"/>
            <w:tcBorders>
              <w:top w:val="nil"/>
              <w:bottom w:val="nil"/>
            </w:tcBorders>
            <w:shd w:val="clear" w:color="auto" w:fill="FFFFFF" w:themeFill="background1"/>
          </w:tcPr>
          <w:p w14:paraId="32A0E3BA" w14:textId="157762E3" w:rsidR="00A63ED1" w:rsidRPr="00A63ED1" w:rsidRDefault="00A63ED1" w:rsidP="009C2A64">
            <w:pPr>
              <w:cnfStyle w:val="000000000000" w:firstRow="0" w:lastRow="0" w:firstColumn="0" w:lastColumn="0" w:oddVBand="0" w:evenVBand="0" w:oddHBand="0" w:evenHBand="0" w:firstRowFirstColumn="0" w:firstRowLastColumn="0" w:lastRowFirstColumn="0" w:lastRowLastColumn="0"/>
            </w:pPr>
            <w:r>
              <w:t>U</w:t>
            </w:r>
            <w:r w:rsidRPr="00B25264">
              <w:t xml:space="preserve">sed for ongoing payments </w:t>
            </w:r>
            <w:r w:rsidR="009C2A64">
              <w:t>that</w:t>
            </w:r>
            <w:r w:rsidR="00F040AA">
              <w:t xml:space="preserve"> </w:t>
            </w:r>
            <w:r w:rsidRPr="00B25264">
              <w:t xml:space="preserve">need to be made independently of the </w:t>
            </w:r>
            <w:r>
              <w:t>G</w:t>
            </w:r>
            <w:r w:rsidRPr="00B25264">
              <w:t xml:space="preserve">overnment’s annual budget priorities. Special </w:t>
            </w:r>
            <w:r w:rsidR="009C2A64">
              <w:t>A</w:t>
            </w:r>
            <w:r w:rsidRPr="00B25264">
              <w:t>ppropriations represent a standing authority and do not lapse each year as annual appropriations do. They instead remain in force until the relevant legislation providing for the special appropriation is ame</w:t>
            </w:r>
            <w:r>
              <w:t>nded or repealed by Parliament.</w:t>
            </w:r>
          </w:p>
        </w:tc>
      </w:tr>
      <w:tr w:rsidR="00A63ED1" w14:paraId="11D138E6" w14:textId="77777777" w:rsidTr="00A63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Borders>
              <w:bottom w:val="nil"/>
            </w:tcBorders>
          </w:tcPr>
          <w:p w14:paraId="6974FBBF" w14:textId="77777777" w:rsidR="00A63ED1" w:rsidRDefault="00A63ED1" w:rsidP="0060329E">
            <w:pPr>
              <w:rPr>
                <w:b/>
              </w:rPr>
            </w:pPr>
            <w:r w:rsidRPr="000E2696">
              <w:rPr>
                <w:b/>
              </w:rPr>
              <w:t>Speci</w:t>
            </w:r>
            <w:r w:rsidR="00242C64">
              <w:rPr>
                <w:b/>
              </w:rPr>
              <w:t xml:space="preserve">fic Purpose Payments </w:t>
            </w:r>
            <w:r w:rsidR="00E63A1F">
              <w:rPr>
                <w:b/>
              </w:rPr>
              <w:t>(</w:t>
            </w:r>
            <w:r>
              <w:rPr>
                <w:b/>
              </w:rPr>
              <w:t>SPPs</w:t>
            </w:r>
            <w:r w:rsidR="00E63A1F">
              <w:rPr>
                <w:b/>
              </w:rPr>
              <w:t>)</w:t>
            </w:r>
          </w:p>
        </w:tc>
        <w:tc>
          <w:tcPr>
            <w:tcW w:w="6804" w:type="dxa"/>
            <w:tcBorders>
              <w:top w:val="nil"/>
              <w:bottom w:val="nil"/>
            </w:tcBorders>
            <w:shd w:val="clear" w:color="auto" w:fill="FFFFFF" w:themeFill="background1"/>
          </w:tcPr>
          <w:p w14:paraId="47EAB291" w14:textId="77777777" w:rsidR="00A63ED1" w:rsidRPr="00A63ED1" w:rsidRDefault="007B0F02" w:rsidP="002A5B89">
            <w:pPr>
              <w:cnfStyle w:val="000000010000" w:firstRow="0" w:lastRow="0" w:firstColumn="0" w:lastColumn="0" w:oddVBand="0" w:evenVBand="0" w:oddHBand="0" w:evenHBand="1" w:firstRowFirstColumn="0" w:firstRowLastColumn="0" w:lastRowFirstColumn="0" w:lastRowLastColumn="0"/>
            </w:pPr>
            <w:r>
              <w:t xml:space="preserve">A type of Commonwealth grant for a specific purpose. </w:t>
            </w:r>
            <w:r w:rsidR="00E63A1F" w:rsidRPr="00E63A1F">
              <w:t>National Specific Pu</w:t>
            </w:r>
            <w:r>
              <w:t xml:space="preserve">rpose Payments (National SPPs) are </w:t>
            </w:r>
            <w:r w:rsidR="002A5B89">
              <w:t>paid</w:t>
            </w:r>
            <w:r w:rsidR="00E63A1F" w:rsidRPr="00E63A1F">
              <w:t xml:space="preserve"> annually </w:t>
            </w:r>
            <w:r w:rsidR="002A5B89">
              <w:t xml:space="preserve">by the Commonwealth </w:t>
            </w:r>
            <w:r>
              <w:t xml:space="preserve">in key </w:t>
            </w:r>
            <w:r w:rsidR="00E63A1F" w:rsidRPr="00E63A1F">
              <w:t>service delivery sectors.</w:t>
            </w:r>
            <w:r w:rsidR="002A5B89">
              <w:t xml:space="preserve"> Refer also to National Partnership payments (NPs).</w:t>
            </w:r>
          </w:p>
        </w:tc>
      </w:tr>
      <w:tr w:rsidR="00A63ED1" w14:paraId="51BE2B39" w14:textId="77777777" w:rsidTr="00A63ED1">
        <w:tc>
          <w:tcPr>
            <w:cnfStyle w:val="001000000000" w:firstRow="0" w:lastRow="0" w:firstColumn="1" w:lastColumn="0" w:oddVBand="0" w:evenVBand="0" w:oddHBand="0" w:evenHBand="0" w:firstRowFirstColumn="0" w:firstRowLastColumn="0" w:lastRowFirstColumn="0" w:lastRowLastColumn="0"/>
            <w:tcW w:w="2531" w:type="dxa"/>
            <w:tcBorders>
              <w:bottom w:val="nil"/>
            </w:tcBorders>
          </w:tcPr>
          <w:p w14:paraId="22808954" w14:textId="77777777" w:rsidR="00A63ED1" w:rsidRDefault="00A63ED1" w:rsidP="0060329E">
            <w:pPr>
              <w:rPr>
                <w:b/>
              </w:rPr>
            </w:pPr>
            <w:r>
              <w:rPr>
                <w:b/>
              </w:rPr>
              <w:t>State Administration Unit (SAU)</w:t>
            </w:r>
          </w:p>
        </w:tc>
        <w:tc>
          <w:tcPr>
            <w:tcW w:w="6804" w:type="dxa"/>
            <w:tcBorders>
              <w:top w:val="nil"/>
              <w:bottom w:val="nil"/>
            </w:tcBorders>
            <w:shd w:val="clear" w:color="auto" w:fill="FFFFFF" w:themeFill="background1"/>
          </w:tcPr>
          <w:p w14:paraId="382110B7" w14:textId="77777777" w:rsidR="00A63ED1" w:rsidRDefault="00A63ED1" w:rsidP="00A63ED1">
            <w:pPr>
              <w:cnfStyle w:val="000000000000" w:firstRow="0" w:lastRow="0" w:firstColumn="0" w:lastColumn="0" w:oddVBand="0" w:evenVBand="0" w:oddHBand="0" w:evenHBand="0" w:firstRowFirstColumn="0" w:firstRowLastColumn="0" w:lastRowFirstColumn="0" w:lastRowLastColumn="0"/>
            </w:pPr>
            <w:r w:rsidRPr="00BA3E42">
              <w:t xml:space="preserve">The SAU serves two primary functions: </w:t>
            </w:r>
          </w:p>
          <w:p w14:paraId="678B14F8" w14:textId="77777777" w:rsidR="00A63ED1" w:rsidRDefault="00A63ED1" w:rsidP="00DA412B">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rsidRPr="00BA3E42">
              <w:t xml:space="preserve">as a mechanism for recording transaction flows and balances within the Public Account; and </w:t>
            </w:r>
          </w:p>
          <w:p w14:paraId="5DB05BCA" w14:textId="77777777" w:rsidR="00A63ED1" w:rsidRPr="00A63ED1" w:rsidRDefault="00A63ED1" w:rsidP="00DA412B">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rsidRPr="00BA3E42">
              <w:t>a means of capturing certain relationships and balances between the Government (with DTF as the ‘corporate head office’) and Departments (such as Contributed Capital balances).</w:t>
            </w:r>
          </w:p>
        </w:tc>
      </w:tr>
      <w:tr w:rsidR="00A63ED1" w14:paraId="440F229A" w14:textId="77777777" w:rsidTr="00D924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Borders>
              <w:bottom w:val="nil"/>
            </w:tcBorders>
          </w:tcPr>
          <w:p w14:paraId="078D178E" w14:textId="77777777" w:rsidR="00A63ED1" w:rsidRDefault="00A63ED1" w:rsidP="0060329E">
            <w:pPr>
              <w:rPr>
                <w:b/>
              </w:rPr>
            </w:pPr>
            <w:r w:rsidRPr="000E2696">
              <w:rPr>
                <w:b/>
              </w:rPr>
              <w:t>Surplus/def</w:t>
            </w:r>
            <w:r>
              <w:rPr>
                <w:b/>
              </w:rPr>
              <w:t>icit</w:t>
            </w:r>
          </w:p>
        </w:tc>
        <w:tc>
          <w:tcPr>
            <w:tcW w:w="6804" w:type="dxa"/>
            <w:tcBorders>
              <w:top w:val="nil"/>
              <w:bottom w:val="nil"/>
            </w:tcBorders>
            <w:shd w:val="clear" w:color="auto" w:fill="FFFFFF" w:themeFill="background1"/>
          </w:tcPr>
          <w:p w14:paraId="4ACD6100" w14:textId="77777777" w:rsidR="00A63ED1" w:rsidRPr="00A63ED1" w:rsidRDefault="00A63ED1" w:rsidP="002A5B89">
            <w:pPr>
              <w:cnfStyle w:val="000000010000" w:firstRow="0" w:lastRow="0" w:firstColumn="0" w:lastColumn="0" w:oddVBand="0" w:evenVBand="0" w:oddHBand="0" w:evenHBand="1" w:firstRowFirstColumn="0" w:firstRowLastColumn="0" w:lastRowFirstColumn="0" w:lastRowLastColumn="0"/>
            </w:pPr>
            <w:r>
              <w:t>A</w:t>
            </w:r>
            <w:r w:rsidRPr="00B25264">
              <w:t xml:space="preserve">rises when the operating revenue generated by a </w:t>
            </w:r>
            <w:r>
              <w:t>D</w:t>
            </w:r>
            <w:r w:rsidRPr="00B25264">
              <w:t xml:space="preserve">epartment is greater/less than the </w:t>
            </w:r>
            <w:r>
              <w:t>D</w:t>
            </w:r>
            <w:r w:rsidRPr="00B25264">
              <w:t>epartment’s operating expenses for a particular accounting period. This is also</w:t>
            </w:r>
            <w:r>
              <w:t xml:space="preserve"> known as the </w:t>
            </w:r>
            <w:r w:rsidR="002A5B89">
              <w:t>net result from transactions (net operating balance)</w:t>
            </w:r>
            <w:r>
              <w:t>.</w:t>
            </w:r>
          </w:p>
        </w:tc>
      </w:tr>
      <w:tr w:rsidR="00A63ED1" w14:paraId="6152D5A2" w14:textId="77777777" w:rsidTr="00D92463">
        <w:tc>
          <w:tcPr>
            <w:cnfStyle w:val="001000000000" w:firstRow="0" w:lastRow="0" w:firstColumn="1" w:lastColumn="0" w:oddVBand="0" w:evenVBand="0" w:oddHBand="0" w:evenHBand="0" w:firstRowFirstColumn="0" w:firstRowLastColumn="0" w:lastRowFirstColumn="0" w:lastRowLastColumn="0"/>
            <w:tcW w:w="2531" w:type="dxa"/>
            <w:tcBorders>
              <w:bottom w:val="nil"/>
            </w:tcBorders>
          </w:tcPr>
          <w:p w14:paraId="13AF537A" w14:textId="77777777" w:rsidR="00A63ED1" w:rsidRDefault="00A63ED1" w:rsidP="0060329E">
            <w:pPr>
              <w:rPr>
                <w:b/>
              </w:rPr>
            </w:pPr>
            <w:r w:rsidRPr="000E2696">
              <w:rPr>
                <w:b/>
              </w:rPr>
              <w:t>Temporary Advance</w:t>
            </w:r>
          </w:p>
        </w:tc>
        <w:tc>
          <w:tcPr>
            <w:tcW w:w="6804" w:type="dxa"/>
            <w:tcBorders>
              <w:top w:val="nil"/>
              <w:bottom w:val="nil"/>
            </w:tcBorders>
            <w:shd w:val="clear" w:color="auto" w:fill="FFFFFF" w:themeFill="background1"/>
          </w:tcPr>
          <w:p w14:paraId="48222784" w14:textId="0965F9D3" w:rsidR="00A63ED1" w:rsidRPr="00A63ED1" w:rsidRDefault="00A63ED1" w:rsidP="009C2A64">
            <w:pPr>
              <w:cnfStyle w:val="000000000000" w:firstRow="0" w:lastRow="0" w:firstColumn="0" w:lastColumn="0" w:oddVBand="0" w:evenVBand="0" w:oddHBand="0" w:evenHBand="0" w:firstRowFirstColumn="0" w:firstRowLastColumn="0" w:lastRowFirstColumn="0" w:lastRowLastColumn="0"/>
            </w:pPr>
            <w:r w:rsidRPr="00BE5770">
              <w:t xml:space="preserve">An advance provided by the Treasurer under </w:t>
            </w:r>
            <w:r w:rsidR="009C2A64">
              <w:t>s</w:t>
            </w:r>
            <w:r w:rsidRPr="00BE5770">
              <w:t xml:space="preserve">ection 35 of the FMA to a Minister to enable him/her to meet urgent claims in the current budget year before </w:t>
            </w:r>
            <w:r w:rsidR="009C2A64">
              <w:t>p</w:t>
            </w:r>
            <w:r w:rsidRPr="00BE5770">
              <w:t xml:space="preserve">arliamentary sanction is obtained. </w:t>
            </w:r>
          </w:p>
        </w:tc>
      </w:tr>
      <w:tr w:rsidR="00A63ED1" w14:paraId="4147CB7E" w14:textId="77777777" w:rsidTr="00D924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Borders>
              <w:top w:val="nil"/>
            </w:tcBorders>
          </w:tcPr>
          <w:p w14:paraId="41DA8A28" w14:textId="77777777" w:rsidR="00A63ED1" w:rsidRDefault="00A63ED1" w:rsidP="0060329E">
            <w:pPr>
              <w:rPr>
                <w:b/>
              </w:rPr>
            </w:pPr>
            <w:r>
              <w:rPr>
                <w:rFonts w:cs="Arial"/>
                <w:b/>
              </w:rPr>
              <w:lastRenderedPageBreak/>
              <w:t>Treasurer’s Advance</w:t>
            </w:r>
          </w:p>
        </w:tc>
        <w:tc>
          <w:tcPr>
            <w:tcW w:w="6804" w:type="dxa"/>
            <w:tcBorders>
              <w:top w:val="nil"/>
              <w:bottom w:val="nil"/>
            </w:tcBorders>
            <w:shd w:val="clear" w:color="auto" w:fill="FFFFFF" w:themeFill="background1"/>
          </w:tcPr>
          <w:p w14:paraId="77F3065B" w14:textId="00340A4D" w:rsidR="00A63ED1" w:rsidRPr="00A63ED1" w:rsidRDefault="00A63ED1" w:rsidP="00A57870">
            <w:pPr>
              <w:cnfStyle w:val="000000010000" w:firstRow="0" w:lastRow="0" w:firstColumn="0" w:lastColumn="0" w:oddVBand="0" w:evenVBand="0" w:oddHBand="0" w:evenHBand="1" w:firstRowFirstColumn="0" w:firstRowLastColumn="0" w:lastRowFirstColumn="0" w:lastRowLastColumn="0"/>
            </w:pPr>
            <w:r>
              <w:t xml:space="preserve">An annual appropriation to the Treasurer to meet urgent expenditure claims that were unforeseen at the time of the </w:t>
            </w:r>
            <w:r w:rsidR="00AD154C">
              <w:t>B</w:t>
            </w:r>
            <w:r>
              <w:t xml:space="preserve">udget. Amounts advanced under this authority are reported to and sanctioned by the Parliament in </w:t>
            </w:r>
            <w:r w:rsidR="00A57870">
              <w:t xml:space="preserve">a </w:t>
            </w:r>
            <w:r>
              <w:t>subsequent year’s Annual Appropriation Bill.</w:t>
            </w:r>
          </w:p>
        </w:tc>
      </w:tr>
      <w:tr w:rsidR="00A63ED1" w14:paraId="34E25E3A" w14:textId="77777777" w:rsidTr="00A63ED1">
        <w:tc>
          <w:tcPr>
            <w:cnfStyle w:val="001000000000" w:firstRow="0" w:lastRow="0" w:firstColumn="1" w:lastColumn="0" w:oddVBand="0" w:evenVBand="0" w:oddHBand="0" w:evenHBand="0" w:firstRowFirstColumn="0" w:firstRowLastColumn="0" w:lastRowFirstColumn="0" w:lastRowLastColumn="0"/>
            <w:tcW w:w="2531" w:type="dxa"/>
          </w:tcPr>
          <w:p w14:paraId="7A56731E" w14:textId="77777777" w:rsidR="00A63ED1" w:rsidRDefault="00A63ED1" w:rsidP="0060329E">
            <w:pPr>
              <w:rPr>
                <w:b/>
              </w:rPr>
            </w:pPr>
            <w:r>
              <w:rPr>
                <w:b/>
              </w:rPr>
              <w:t>Trust accounts</w:t>
            </w:r>
          </w:p>
        </w:tc>
        <w:tc>
          <w:tcPr>
            <w:tcW w:w="6804" w:type="dxa"/>
            <w:tcBorders>
              <w:top w:val="nil"/>
              <w:bottom w:val="nil"/>
            </w:tcBorders>
            <w:shd w:val="clear" w:color="auto" w:fill="FFFFFF" w:themeFill="background1"/>
          </w:tcPr>
          <w:p w14:paraId="618B37A3" w14:textId="282DD704" w:rsidR="00A63ED1" w:rsidRPr="00A63ED1" w:rsidRDefault="00A63ED1" w:rsidP="009C2A64">
            <w:pPr>
              <w:cnfStyle w:val="000000000000" w:firstRow="0" w:lastRow="0" w:firstColumn="0" w:lastColumn="0" w:oddVBand="0" w:evenVBand="0" w:oddHBand="0" w:evenHBand="0" w:firstRowFirstColumn="0" w:firstRowLastColumn="0" w:lastRowFirstColumn="0" w:lastRowLastColumn="0"/>
            </w:pPr>
            <w:r>
              <w:t>S</w:t>
            </w:r>
            <w:r w:rsidR="006B11CE">
              <w:t xml:space="preserve">eparate accounts </w:t>
            </w:r>
            <w:r w:rsidRPr="00731E39">
              <w:t>in the Trust Fund, w</w:t>
            </w:r>
            <w:r>
              <w:t>hich contain moneys set aside for specific purposes.</w:t>
            </w:r>
            <w:r w:rsidRPr="00731E39">
              <w:t xml:space="preserve"> The specific purpose for the establishment of each Trust Account is defined by the Minister, pursuant to </w:t>
            </w:r>
            <w:r w:rsidR="009C2A64">
              <w:t>s</w:t>
            </w:r>
            <w:r w:rsidRPr="00731E39">
              <w:t>ection</w:t>
            </w:r>
            <w:r>
              <w:t>s</w:t>
            </w:r>
            <w:r w:rsidRPr="00731E39">
              <w:t xml:space="preserve"> 19 </w:t>
            </w:r>
            <w:r>
              <w:t xml:space="preserve">or 23 </w:t>
            </w:r>
            <w:r w:rsidRPr="00731E39">
              <w:t xml:space="preserve">of the </w:t>
            </w:r>
            <w:r>
              <w:t>FMA</w:t>
            </w:r>
            <w:r w:rsidRPr="00731E39">
              <w:t xml:space="preserve">, or is contained in a separate statute. </w:t>
            </w:r>
          </w:p>
        </w:tc>
      </w:tr>
      <w:tr w:rsidR="00A63ED1" w14:paraId="13D34231" w14:textId="77777777" w:rsidTr="00A63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6B45B421" w14:textId="77777777" w:rsidR="00A63ED1" w:rsidRDefault="00A63ED1" w:rsidP="0060329E">
            <w:pPr>
              <w:rPr>
                <w:b/>
              </w:rPr>
            </w:pPr>
            <w:r w:rsidRPr="00FB6253">
              <w:rPr>
                <w:b/>
              </w:rPr>
              <w:t>Trust Fund</w:t>
            </w:r>
          </w:p>
        </w:tc>
        <w:tc>
          <w:tcPr>
            <w:tcW w:w="6804" w:type="dxa"/>
            <w:tcBorders>
              <w:top w:val="nil"/>
              <w:bottom w:val="nil"/>
            </w:tcBorders>
            <w:shd w:val="clear" w:color="auto" w:fill="FFFFFF" w:themeFill="background1"/>
          </w:tcPr>
          <w:p w14:paraId="6C1C46C1" w14:textId="677BD34F" w:rsidR="00A63ED1" w:rsidRPr="00A63ED1" w:rsidRDefault="00A63ED1" w:rsidP="00A57870">
            <w:pPr>
              <w:cnfStyle w:val="000000010000" w:firstRow="0" w:lastRow="0" w:firstColumn="0" w:lastColumn="0" w:oddVBand="0" w:evenVBand="0" w:oddHBand="0" w:evenHBand="1" w:firstRowFirstColumn="0" w:firstRowLastColumn="0" w:lastRowFirstColumn="0" w:lastRowLastColumn="0"/>
            </w:pPr>
            <w:r>
              <w:t>Forms part of the State's Public Account, along</w:t>
            </w:r>
            <w:r w:rsidR="00A57870">
              <w:t xml:space="preserve"> with</w:t>
            </w:r>
            <w:r>
              <w:t xml:space="preserve"> the Consolidated Fund. The Trust Fund encompasses</w:t>
            </w:r>
            <w:r w:rsidRPr="00FB6253">
              <w:t xml:space="preserve"> a </w:t>
            </w:r>
            <w:r>
              <w:t>number</w:t>
            </w:r>
            <w:r w:rsidRPr="00FB6253">
              <w:t xml:space="preserve"> of specific purpose accounts for funds that are not subject to parliamentary appropriation.</w:t>
            </w:r>
          </w:p>
        </w:tc>
      </w:tr>
      <w:tr w:rsidR="00A63ED1" w14:paraId="5CE9CFC8" w14:textId="77777777" w:rsidTr="00A63ED1">
        <w:tc>
          <w:tcPr>
            <w:cnfStyle w:val="001000000000" w:firstRow="0" w:lastRow="0" w:firstColumn="1" w:lastColumn="0" w:oddVBand="0" w:evenVBand="0" w:oddHBand="0" w:evenHBand="0" w:firstRowFirstColumn="0" w:firstRowLastColumn="0" w:lastRowFirstColumn="0" w:lastRowLastColumn="0"/>
            <w:tcW w:w="2531" w:type="dxa"/>
          </w:tcPr>
          <w:p w14:paraId="2A9F10D1" w14:textId="77777777" w:rsidR="00A63ED1" w:rsidRDefault="00A63ED1" w:rsidP="0060329E">
            <w:pPr>
              <w:rPr>
                <w:b/>
              </w:rPr>
            </w:pPr>
            <w:r>
              <w:rPr>
                <w:b/>
              </w:rPr>
              <w:t>User charges</w:t>
            </w:r>
          </w:p>
        </w:tc>
        <w:tc>
          <w:tcPr>
            <w:tcW w:w="6804" w:type="dxa"/>
            <w:tcBorders>
              <w:top w:val="nil"/>
              <w:bottom w:val="nil"/>
            </w:tcBorders>
            <w:shd w:val="clear" w:color="auto" w:fill="FFFFFF" w:themeFill="background1"/>
          </w:tcPr>
          <w:p w14:paraId="3CD2A9C6" w14:textId="77777777" w:rsidR="00B92B94" w:rsidRDefault="00A63ED1" w:rsidP="00BE5770">
            <w:pPr>
              <w:cnfStyle w:val="000000000000" w:firstRow="0" w:lastRow="0" w:firstColumn="0" w:lastColumn="0" w:oddVBand="0" w:evenVBand="0" w:oddHBand="0" w:evenHBand="0" w:firstRowFirstColumn="0" w:firstRowLastColumn="0" w:lastRowFirstColumn="0" w:lastRowLastColumn="0"/>
            </w:pPr>
            <w:r>
              <w:t xml:space="preserve">Receipts </w:t>
            </w:r>
            <w:r w:rsidR="009C2A64">
              <w:t>that</w:t>
            </w:r>
            <w:r>
              <w:t xml:space="preserve"> satisfy the following criteria: </w:t>
            </w:r>
          </w:p>
          <w:p w14:paraId="4F7493E3" w14:textId="77777777" w:rsidR="00B92B94" w:rsidRDefault="00A63ED1" w:rsidP="003D272A">
            <w:pPr>
              <w:pStyle w:val="ListParagraph"/>
              <w:numPr>
                <w:ilvl w:val="0"/>
                <w:numId w:val="89"/>
              </w:numPr>
              <w:cnfStyle w:val="000000000000" w:firstRow="0" w:lastRow="0" w:firstColumn="0" w:lastColumn="0" w:oddVBand="0" w:evenVBand="0" w:oddHBand="0" w:evenHBand="0" w:firstRowFirstColumn="0" w:firstRowLastColumn="0" w:lastRowFirstColumn="0" w:lastRowLastColumn="0"/>
            </w:pPr>
            <w:r w:rsidRPr="00B92B94">
              <w:t>the receipt originate</w:t>
            </w:r>
            <w:r w:rsidR="00BE5770" w:rsidRPr="00B92B94">
              <w:t>s</w:t>
            </w:r>
            <w:r w:rsidRPr="00B92B94">
              <w:t xml:space="preserve"> from payments made voluntarily for goods and services provided; and the payments made</w:t>
            </w:r>
            <w:r w:rsidR="00B92B94">
              <w:t>;</w:t>
            </w:r>
            <w:r w:rsidRPr="00B92B94">
              <w:t xml:space="preserve"> and</w:t>
            </w:r>
          </w:p>
          <w:p w14:paraId="3354F28D" w14:textId="0A8550A3" w:rsidR="00A63ED1" w:rsidRPr="00B92B94" w:rsidRDefault="00A63ED1" w:rsidP="003D272A">
            <w:pPr>
              <w:pStyle w:val="ListParagraph"/>
              <w:numPr>
                <w:ilvl w:val="0"/>
                <w:numId w:val="89"/>
              </w:numPr>
              <w:cnfStyle w:val="000000000000" w:firstRow="0" w:lastRow="0" w:firstColumn="0" w:lastColumn="0" w:oddVBand="0" w:evenVBand="0" w:oddHBand="0" w:evenHBand="0" w:firstRowFirstColumn="0" w:firstRowLastColumn="0" w:lastRowFirstColumn="0" w:lastRowLastColumn="0"/>
            </w:pPr>
            <w:r w:rsidRPr="00B92B94">
              <w:t>the benefits gained by the user can be clearly linked to the cost of providing the products and services.</w:t>
            </w:r>
          </w:p>
        </w:tc>
      </w:tr>
      <w:tr w:rsidR="00A63ED1" w14:paraId="453A3B54" w14:textId="77777777" w:rsidTr="00A63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10D50D37" w14:textId="77777777" w:rsidR="00A63ED1" w:rsidRDefault="00A63ED1" w:rsidP="0060329E">
            <w:pPr>
              <w:rPr>
                <w:b/>
              </w:rPr>
            </w:pPr>
            <w:r>
              <w:rPr>
                <w:b/>
              </w:rPr>
              <w:t>Warrant</w:t>
            </w:r>
          </w:p>
        </w:tc>
        <w:tc>
          <w:tcPr>
            <w:tcW w:w="6804" w:type="dxa"/>
            <w:tcBorders>
              <w:top w:val="nil"/>
              <w:bottom w:val="nil"/>
            </w:tcBorders>
            <w:shd w:val="clear" w:color="auto" w:fill="FFFFFF" w:themeFill="background1"/>
          </w:tcPr>
          <w:p w14:paraId="5868BD7D" w14:textId="62A48D54" w:rsidR="00A63ED1" w:rsidRPr="00A63ED1" w:rsidRDefault="00A63ED1" w:rsidP="009C2A64">
            <w:pPr>
              <w:cnfStyle w:val="000000010000" w:firstRow="0" w:lastRow="0" w:firstColumn="0" w:lastColumn="0" w:oddVBand="0" w:evenVBand="0" w:oddHBand="0" w:evenHBand="1" w:firstRowFirstColumn="0" w:firstRowLastColumn="0" w:lastRowFirstColumn="0" w:lastRowLastColumn="0"/>
            </w:pPr>
            <w:r>
              <w:t>A</w:t>
            </w:r>
            <w:r w:rsidRPr="00B25264">
              <w:t xml:space="preserve"> written authority to spend specified sums during the financial year from the Consolidated Fund which must be signed by the Treasurer, the Auditor</w:t>
            </w:r>
            <w:r w:rsidR="009C2A64">
              <w:t>-</w:t>
            </w:r>
            <w:r w:rsidRPr="00B25264">
              <w:t xml:space="preserve">General and the Governor (refer to </w:t>
            </w:r>
            <w:r w:rsidR="009C2A64">
              <w:t>s</w:t>
            </w:r>
            <w:r w:rsidRPr="00B25264">
              <w:t xml:space="preserve">ection 93 of the </w:t>
            </w:r>
            <w:r w:rsidRPr="00304796">
              <w:rPr>
                <w:i/>
              </w:rPr>
              <w:t>Constitution Act 1975</w:t>
            </w:r>
            <w:r>
              <w:t xml:space="preserve"> and </w:t>
            </w:r>
            <w:r w:rsidR="009C2A64">
              <w:t>s</w:t>
            </w:r>
            <w:r>
              <w:t>ection 17 of the FMA).</w:t>
            </w:r>
          </w:p>
        </w:tc>
      </w:tr>
      <w:tr w:rsidR="00A63ED1" w14:paraId="7F123AF0" w14:textId="77777777" w:rsidTr="00A63ED1">
        <w:tc>
          <w:tcPr>
            <w:cnfStyle w:val="001000000000" w:firstRow="0" w:lastRow="0" w:firstColumn="1" w:lastColumn="0" w:oddVBand="0" w:evenVBand="0" w:oddHBand="0" w:evenHBand="0" w:firstRowFirstColumn="0" w:firstRowLastColumn="0" w:lastRowFirstColumn="0" w:lastRowLastColumn="0"/>
            <w:tcW w:w="2531" w:type="dxa"/>
          </w:tcPr>
          <w:p w14:paraId="6602D3F7" w14:textId="77777777" w:rsidR="00A63ED1" w:rsidRDefault="00A63ED1" w:rsidP="0060329E">
            <w:pPr>
              <w:rPr>
                <w:b/>
              </w:rPr>
            </w:pPr>
            <w:r>
              <w:rPr>
                <w:rFonts w:cs="Arial"/>
                <w:b/>
              </w:rPr>
              <w:t>Working accounts</w:t>
            </w:r>
          </w:p>
        </w:tc>
        <w:tc>
          <w:tcPr>
            <w:tcW w:w="6804" w:type="dxa"/>
            <w:tcBorders>
              <w:top w:val="nil"/>
              <w:bottom w:val="single" w:sz="12" w:space="0" w:color="0063A6" w:themeColor="accent1"/>
            </w:tcBorders>
            <w:shd w:val="clear" w:color="auto" w:fill="FFFFFF" w:themeFill="background1"/>
          </w:tcPr>
          <w:p w14:paraId="158A8B64" w14:textId="22EFB97C" w:rsidR="00A63ED1" w:rsidRPr="00A63ED1" w:rsidRDefault="00A63ED1" w:rsidP="00F040AA">
            <w:pPr>
              <w:cnfStyle w:val="000000000000" w:firstRow="0" w:lastRow="0" w:firstColumn="0" w:lastColumn="0" w:oddVBand="0" w:evenVBand="0" w:oddHBand="0" w:evenHBand="0" w:firstRowFirstColumn="0" w:firstRowLastColumn="0" w:lastRowFirstColumn="0" w:lastRowLastColumn="0"/>
            </w:pPr>
            <w:r>
              <w:t xml:space="preserve">A </w:t>
            </w:r>
            <w:r w:rsidR="00F040AA">
              <w:t>t</w:t>
            </w:r>
            <w:r>
              <w:t xml:space="preserve">rust </w:t>
            </w:r>
            <w:r w:rsidR="00F040AA">
              <w:t xml:space="preserve">account </w:t>
            </w:r>
            <w:r>
              <w:t xml:space="preserve">facility </w:t>
            </w:r>
            <w:r w:rsidR="00613824">
              <w:t>(</w:t>
            </w:r>
            <w:r w:rsidR="00F040AA">
              <w:t xml:space="preserve">under </w:t>
            </w:r>
            <w:r w:rsidR="00A57870">
              <w:t>section 23</w:t>
            </w:r>
            <w:r w:rsidR="009C2A64">
              <w:t xml:space="preserve"> of the FMA</w:t>
            </w:r>
            <w:r w:rsidR="00613824">
              <w:t>)</w:t>
            </w:r>
            <w:r w:rsidR="00A57870">
              <w:t xml:space="preserve"> </w:t>
            </w:r>
            <w:r>
              <w:t xml:space="preserve">designed to provide Departments with direct access to user charge receipts for those activities conducted on a </w:t>
            </w:r>
            <w:r w:rsidR="00AD154C">
              <w:t xml:space="preserve">cost recovery or </w:t>
            </w:r>
            <w:r>
              <w:t>commercial basis separately from core Departmental operations.</w:t>
            </w:r>
          </w:p>
        </w:tc>
      </w:tr>
    </w:tbl>
    <w:p w14:paraId="796C118E" w14:textId="77777777" w:rsidR="000E2696" w:rsidRDefault="000E2696">
      <w:pPr>
        <w:spacing w:before="0" w:after="200"/>
        <w:rPr>
          <w:rFonts w:asciiTheme="majorHAnsi" w:eastAsiaTheme="majorEastAsia" w:hAnsiTheme="majorHAnsi" w:cstheme="majorBidi"/>
          <w:b/>
          <w:bCs/>
          <w:color w:val="201547"/>
          <w:spacing w:val="-1"/>
          <w:sz w:val="36"/>
          <w:szCs w:val="28"/>
        </w:rPr>
      </w:pPr>
      <w:bookmarkStart w:id="16" w:name="_Toc445459714"/>
      <w:r>
        <w:br w:type="page"/>
      </w:r>
    </w:p>
    <w:p w14:paraId="41EA64E7" w14:textId="77777777" w:rsidR="005476DA" w:rsidRPr="00354AB3" w:rsidRDefault="00B413E0" w:rsidP="003D272A">
      <w:pPr>
        <w:pStyle w:val="Heading1"/>
      </w:pPr>
      <w:bookmarkStart w:id="17" w:name="_Toc476658079"/>
      <w:bookmarkEnd w:id="16"/>
      <w:r>
        <w:lastRenderedPageBreak/>
        <w:t>Setting the context for the State’s Budget</w:t>
      </w:r>
      <w:bookmarkEnd w:id="17"/>
    </w:p>
    <w:p w14:paraId="582DD68C" w14:textId="77777777" w:rsidR="00B413E0" w:rsidRDefault="00B413E0" w:rsidP="003D272A">
      <w:bookmarkStart w:id="18" w:name="_Toc445459717"/>
      <w:r>
        <w:t xml:space="preserve">Governments collect and spend public money to provide </w:t>
      </w:r>
      <w:r w:rsidR="006A21C4">
        <w:t>essential</w:t>
      </w:r>
      <w:r>
        <w:t xml:space="preserve"> goods and services</w:t>
      </w:r>
      <w:r w:rsidR="006A21C4">
        <w:t xml:space="preserve"> to the community. To undertake this process, </w:t>
      </w:r>
      <w:r w:rsidR="003713DE">
        <w:t xml:space="preserve">legal </w:t>
      </w:r>
      <w:r>
        <w:t xml:space="preserve">authority </w:t>
      </w:r>
      <w:r w:rsidR="003713DE">
        <w:t>is required from Parliament</w:t>
      </w:r>
      <w:r>
        <w:t xml:space="preserve">. </w:t>
      </w:r>
    </w:p>
    <w:p w14:paraId="718C9086" w14:textId="77777777" w:rsidR="00B413E0" w:rsidRPr="006051FB" w:rsidRDefault="00EF7469" w:rsidP="003D272A">
      <w:pPr>
        <w:pStyle w:val="Heading3"/>
      </w:pPr>
      <w:r w:rsidRPr="00F7511B">
        <w:t>Legislative</w:t>
      </w:r>
      <w:r>
        <w:t xml:space="preserve"> context for the collection and appropriation of public monies </w:t>
      </w:r>
    </w:p>
    <w:p w14:paraId="38915273" w14:textId="77777777" w:rsidR="00975903" w:rsidRDefault="00975903" w:rsidP="003D272A">
      <w:r w:rsidRPr="00975903">
        <w:t xml:space="preserve">The </w:t>
      </w:r>
      <w:r w:rsidRPr="003713DE">
        <w:rPr>
          <w:i/>
        </w:rPr>
        <w:t>Constitution Act 1975</w:t>
      </w:r>
      <w:r w:rsidR="003713DE">
        <w:t xml:space="preserve"> (the Constitution), together with</w:t>
      </w:r>
      <w:r w:rsidRPr="00975903">
        <w:t xml:space="preserve"> other legislation</w:t>
      </w:r>
      <w:r w:rsidR="00FD7AEF">
        <w:t xml:space="preserve">, </w:t>
      </w:r>
      <w:r w:rsidRPr="00975903">
        <w:t>establish</w:t>
      </w:r>
      <w:r w:rsidR="00FD7AEF">
        <w:t>es</w:t>
      </w:r>
      <w:r w:rsidRPr="00975903">
        <w:t xml:space="preserve"> a framework for the collection of public money (revenue), the prudent management of finances, and the spending of public money (expenditure).</w:t>
      </w:r>
    </w:p>
    <w:p w14:paraId="3A14E3AA" w14:textId="6DBBD84F" w:rsidR="00636D90" w:rsidRDefault="00636D90" w:rsidP="003D272A">
      <w:r>
        <w:t xml:space="preserve">The </w:t>
      </w:r>
      <w:r w:rsidRPr="00636D90">
        <w:t xml:space="preserve">Government </w:t>
      </w:r>
      <w:r>
        <w:t>collects</w:t>
      </w:r>
      <w:r w:rsidRPr="00636D90">
        <w:t xml:space="preserve"> revenue th</w:t>
      </w:r>
      <w:r w:rsidR="00E1784A">
        <w:t>r</w:t>
      </w:r>
      <w:r w:rsidRPr="00636D90">
        <w:t>ough taxes</w:t>
      </w:r>
      <w:r>
        <w:t>, fees for services,</w:t>
      </w:r>
      <w:r w:rsidRPr="00636D90">
        <w:t xml:space="preserve"> </w:t>
      </w:r>
      <w:r w:rsidR="007847CC">
        <w:t xml:space="preserve">sales of assets, </w:t>
      </w:r>
      <w:r w:rsidRPr="00636D90">
        <w:t xml:space="preserve">and other </w:t>
      </w:r>
      <w:r>
        <w:t>receipts (e</w:t>
      </w:r>
      <w:r w:rsidR="00A63ED1">
        <w:t>.</w:t>
      </w:r>
      <w:r>
        <w:t xml:space="preserve">g. </w:t>
      </w:r>
      <w:r w:rsidRPr="00636D90">
        <w:t>Commonwealth GST grants</w:t>
      </w:r>
      <w:r w:rsidR="007847CC">
        <w:t>)</w:t>
      </w:r>
      <w:r w:rsidRPr="00636D90">
        <w:t xml:space="preserve">. </w:t>
      </w:r>
      <w:r w:rsidR="00975903">
        <w:t xml:space="preserve">The Constitution </w:t>
      </w:r>
      <w:r w:rsidR="00FD7AEF">
        <w:t xml:space="preserve">and the </w:t>
      </w:r>
      <w:r w:rsidR="009C2A64" w:rsidRPr="00902105">
        <w:rPr>
          <w:i/>
        </w:rPr>
        <w:t>Financial Management Act 1994</w:t>
      </w:r>
      <w:r w:rsidR="009C2A64">
        <w:t xml:space="preserve"> (</w:t>
      </w:r>
      <w:r w:rsidR="00FD7AEF">
        <w:t>FMA</w:t>
      </w:r>
      <w:r w:rsidR="009C2A64">
        <w:t>)</w:t>
      </w:r>
      <w:r w:rsidR="00FD7AEF">
        <w:t xml:space="preserve"> </w:t>
      </w:r>
      <w:r w:rsidRPr="00636D90">
        <w:t xml:space="preserve">prescribe that </w:t>
      </w:r>
      <w:r w:rsidR="007847CC">
        <w:t xml:space="preserve">generally </w:t>
      </w:r>
      <w:r w:rsidRPr="00636D90">
        <w:t xml:space="preserve">all </w:t>
      </w:r>
      <w:r w:rsidR="007847CC">
        <w:t xml:space="preserve">such </w:t>
      </w:r>
      <w:r w:rsidRPr="00636D90">
        <w:t xml:space="preserve">revenue must </w:t>
      </w:r>
      <w:r w:rsidR="007847CC">
        <w:t xml:space="preserve">first </w:t>
      </w:r>
      <w:r w:rsidRPr="00636D90">
        <w:t>go into the Consolidated Fund</w:t>
      </w:r>
      <w:r w:rsidR="007847CC">
        <w:t>.</w:t>
      </w:r>
      <w:r w:rsidR="00FD7AEF">
        <w:rPr>
          <w:rStyle w:val="FootnoteReference"/>
        </w:rPr>
        <w:footnoteReference w:id="4"/>
      </w:r>
      <w:r w:rsidRPr="00636D90">
        <w:t xml:space="preserve"> </w:t>
      </w:r>
    </w:p>
    <w:p w14:paraId="4E6EBB16" w14:textId="77777777" w:rsidR="0099079C" w:rsidRDefault="0099079C" w:rsidP="003D272A">
      <w:r w:rsidRPr="0099079C">
        <w:t xml:space="preserve">Section 92 </w:t>
      </w:r>
      <w:r w:rsidR="007847CC">
        <w:t xml:space="preserve">of the Constitution </w:t>
      </w:r>
      <w:r w:rsidRPr="0099079C">
        <w:t>provides the power for Parliament to appropriate revenues</w:t>
      </w:r>
      <w:r w:rsidRPr="00861D95">
        <w:t xml:space="preserve"> from the Consolidated </w:t>
      </w:r>
      <w:r w:rsidR="00334380">
        <w:t>Fund</w:t>
      </w:r>
      <w:r w:rsidRPr="00861D95">
        <w:t xml:space="preserve">. </w:t>
      </w:r>
      <w:r w:rsidRPr="00334380">
        <w:t xml:space="preserve">This </w:t>
      </w:r>
      <w:r w:rsidR="00B413E0" w:rsidRPr="00861D95">
        <w:t xml:space="preserve">revenue may be appropriated to specific purposes as directed by Parliament. </w:t>
      </w:r>
    </w:p>
    <w:p w14:paraId="090C1C07" w14:textId="77777777" w:rsidR="00B413E0" w:rsidRDefault="00B413E0" w:rsidP="003D272A">
      <w:r>
        <w:t xml:space="preserve">Parliament may </w:t>
      </w:r>
      <w:r w:rsidR="0099079C">
        <w:t xml:space="preserve">only </w:t>
      </w:r>
      <w:r>
        <w:t>appropriate public money on the initiative of the Government</w:t>
      </w:r>
      <w:r w:rsidR="0099079C">
        <w:t xml:space="preserve">. </w:t>
      </w:r>
      <w:r w:rsidR="007013F9">
        <w:t xml:space="preserve">In </w:t>
      </w:r>
      <w:r w:rsidR="00FD7AEF">
        <w:t>particular</w:t>
      </w:r>
      <w:r w:rsidR="007013F9">
        <w:t>, t</w:t>
      </w:r>
      <w:r w:rsidR="0099079C">
        <w:t>he</w:t>
      </w:r>
      <w:r w:rsidR="007847CC">
        <w:t xml:space="preserve"> Constitution:</w:t>
      </w:r>
    </w:p>
    <w:p w14:paraId="4CB5A303" w14:textId="4B53275E" w:rsidR="004955D1" w:rsidRDefault="00B413E0" w:rsidP="000B672C">
      <w:pPr>
        <w:pStyle w:val="Bullet1"/>
      </w:pPr>
      <w:r>
        <w:t xml:space="preserve">requires that any money </w:t>
      </w:r>
      <w:r w:rsidR="004955D1">
        <w:t xml:space="preserve">Bill </w:t>
      </w:r>
      <w:r>
        <w:t>be preceded by a message from the Governor</w:t>
      </w:r>
      <w:r w:rsidR="00697A64">
        <w:rPr>
          <w:rStyle w:val="FootnoteReference"/>
        </w:rPr>
        <w:footnoteReference w:id="5"/>
      </w:r>
      <w:r>
        <w:t xml:space="preserve">; </w:t>
      </w:r>
    </w:p>
    <w:p w14:paraId="309BF4A3" w14:textId="5FD1D9E6" w:rsidR="00B413E0" w:rsidRDefault="004955D1" w:rsidP="000B672C">
      <w:pPr>
        <w:pStyle w:val="Bullet1"/>
      </w:pPr>
      <w:r>
        <w:t>requires that an</w:t>
      </w:r>
      <w:r w:rsidRPr="004955D1">
        <w:t xml:space="preserve"> Annual Appropriation Bill must deal only with appropriation</w:t>
      </w:r>
      <w:r>
        <w:rPr>
          <w:rStyle w:val="FootnoteReference"/>
        </w:rPr>
        <w:footnoteReference w:id="6"/>
      </w:r>
      <w:r>
        <w:t>;</w:t>
      </w:r>
      <w:r w:rsidRPr="004955D1">
        <w:t xml:space="preserve"> </w:t>
      </w:r>
      <w:r w:rsidR="00B413E0">
        <w:t>and</w:t>
      </w:r>
    </w:p>
    <w:p w14:paraId="6A04DE9D" w14:textId="77777777" w:rsidR="00B413E0" w:rsidRDefault="00B413E0" w:rsidP="000B672C">
      <w:pPr>
        <w:pStyle w:val="Bullet1"/>
      </w:pPr>
      <w:r>
        <w:t>permits expenditure to be incurred only on warrants from the Governor.</w:t>
      </w:r>
    </w:p>
    <w:p w14:paraId="57DD1F3A" w14:textId="77777777" w:rsidR="00EF7469" w:rsidRDefault="00EF7469" w:rsidP="003D272A">
      <w:pPr>
        <w:pStyle w:val="Heading3"/>
      </w:pPr>
      <w:r>
        <w:t>The State Budget</w:t>
      </w:r>
    </w:p>
    <w:p w14:paraId="5903C704" w14:textId="77777777" w:rsidR="0099079C" w:rsidRDefault="00B413E0" w:rsidP="003D272A">
      <w:r>
        <w:t xml:space="preserve">In order to request Parliament to appropriate money from the Consolidated Fund for the upcoming financial year, the Government develops the annual State Budget, detailing how appropriation will be spent. The Budget has two components: </w:t>
      </w:r>
    </w:p>
    <w:p w14:paraId="00F6C138" w14:textId="2CB351CB" w:rsidR="00B413E0" w:rsidRDefault="0099079C" w:rsidP="000B672C">
      <w:pPr>
        <w:pStyle w:val="Bullet1"/>
      </w:pPr>
      <w:r w:rsidRPr="000F010F">
        <w:rPr>
          <w:b/>
        </w:rPr>
        <w:t>Appropriation Bill</w:t>
      </w:r>
      <w:r w:rsidR="004955D1">
        <w:rPr>
          <w:b/>
        </w:rPr>
        <w:t>s</w:t>
      </w:r>
      <w:r w:rsidRPr="000F010F">
        <w:rPr>
          <w:b/>
        </w:rPr>
        <w:t xml:space="preserve"> </w:t>
      </w:r>
      <w:r w:rsidR="00FD7AEF">
        <w:t>–</w:t>
      </w:r>
      <w:r>
        <w:t xml:space="preserve"> t</w:t>
      </w:r>
      <w:r w:rsidR="00B413E0">
        <w:t>o use public money from the Consolidated Fund</w:t>
      </w:r>
      <w:r w:rsidR="00FD7AEF">
        <w:t>,</w:t>
      </w:r>
      <w:r w:rsidR="00B413E0">
        <w:t xml:space="preserve"> the Government must pass an Appropriation Bill</w:t>
      </w:r>
      <w:r w:rsidR="00FD7AEF">
        <w:t xml:space="preserve"> through Parliament</w:t>
      </w:r>
      <w:r w:rsidR="00B413E0">
        <w:t>. This Bill outlines the amount of pub</w:t>
      </w:r>
      <w:r w:rsidR="00FD79F1">
        <w:t>lic money appropriated to each D</w:t>
      </w:r>
      <w:r w:rsidR="00B413E0">
        <w:t xml:space="preserve">epartment for outputs, assets, payments on behalf of the State, and </w:t>
      </w:r>
      <w:r w:rsidR="00AD154C">
        <w:t>other</w:t>
      </w:r>
      <w:r w:rsidR="00B413E0">
        <w:t xml:space="preserve"> appropriations</w:t>
      </w:r>
      <w:r w:rsidR="007F6419">
        <w:t xml:space="preserve"> specified in the Bill</w:t>
      </w:r>
      <w:r w:rsidR="00B413E0">
        <w:t>.</w:t>
      </w:r>
      <w:r w:rsidR="004955D1">
        <w:t xml:space="preserve"> A separate Appropriation Bill is also submitted for the Parliament itself.</w:t>
      </w:r>
    </w:p>
    <w:p w14:paraId="155F2FE1" w14:textId="749FB776" w:rsidR="00B413E0" w:rsidRDefault="0099079C" w:rsidP="000B672C">
      <w:pPr>
        <w:pStyle w:val="Bullet1"/>
      </w:pPr>
      <w:r w:rsidRPr="000F010F">
        <w:rPr>
          <w:b/>
        </w:rPr>
        <w:t xml:space="preserve">Budget </w:t>
      </w:r>
      <w:r w:rsidR="009C2A64">
        <w:rPr>
          <w:b/>
        </w:rPr>
        <w:t>p</w:t>
      </w:r>
      <w:r w:rsidRPr="000F010F">
        <w:rPr>
          <w:b/>
        </w:rPr>
        <w:t>apers</w:t>
      </w:r>
      <w:r>
        <w:t xml:space="preserve"> – these</w:t>
      </w:r>
      <w:r w:rsidR="00B413E0">
        <w:t xml:space="preserve"> are required by the </w:t>
      </w:r>
      <w:r>
        <w:t xml:space="preserve">FMA </w:t>
      </w:r>
      <w:r w:rsidR="00B413E0">
        <w:t xml:space="preserve">to </w:t>
      </w:r>
      <w:r w:rsidR="00B413E0" w:rsidRPr="00FA3986">
        <w:t>detail</w:t>
      </w:r>
      <w:r w:rsidR="00B413E0">
        <w:t xml:space="preserve"> the goods and services that are to be delivered with the appropriation. </w:t>
      </w:r>
      <w:r w:rsidR="00EF7469">
        <w:t xml:space="preserve">The </w:t>
      </w:r>
      <w:r w:rsidR="00B413E0">
        <w:t>Budget papers also describe the Government’s fiscal strategy, the overall budget position of the Sta</w:t>
      </w:r>
      <w:r w:rsidR="00FD79F1">
        <w:t>te</w:t>
      </w:r>
      <w:r w:rsidR="00B413E0">
        <w:t xml:space="preserve"> and the objectives of each </w:t>
      </w:r>
      <w:r w:rsidR="003713DE">
        <w:t>D</w:t>
      </w:r>
      <w:r w:rsidR="00B413E0">
        <w:t>epartment’s service delivery.</w:t>
      </w:r>
    </w:p>
    <w:p w14:paraId="7FBC767E" w14:textId="77777777" w:rsidR="00B413E0" w:rsidRDefault="00FD7AEF" w:rsidP="003D272A">
      <w:r>
        <w:t>The Budget forms the basis of accountability for financial and performance management</w:t>
      </w:r>
      <w:r w:rsidR="00BE5770">
        <w:t xml:space="preserve"> for each Department</w:t>
      </w:r>
      <w:r>
        <w:t xml:space="preserve">. </w:t>
      </w:r>
    </w:p>
    <w:p w14:paraId="7C1ACE79" w14:textId="77777777" w:rsidR="00B413E0" w:rsidRDefault="00B413E0" w:rsidP="003D272A">
      <w:pPr>
        <w:pStyle w:val="Heading3"/>
      </w:pPr>
      <w:r>
        <w:t>The role of Cabinet</w:t>
      </w:r>
      <w:r w:rsidR="00EF7469">
        <w:t xml:space="preserve"> </w:t>
      </w:r>
      <w:r w:rsidR="00E52376">
        <w:t xml:space="preserve">and Cabinet committees </w:t>
      </w:r>
      <w:r w:rsidR="00EF7469">
        <w:t xml:space="preserve">in </w:t>
      </w:r>
      <w:r w:rsidR="006A21C4">
        <w:t>the Budget process</w:t>
      </w:r>
    </w:p>
    <w:p w14:paraId="2B6FE295" w14:textId="77777777" w:rsidR="00B413E0" w:rsidRDefault="00B413E0" w:rsidP="003D272A">
      <w:r>
        <w:t xml:space="preserve">Cabinet is the principal decision making body of the Government. It consists of all Ministers of the Crown and the Cabinet Secretary. The Premier, as the leader of the Government, is the chairperson of Cabinet. </w:t>
      </w:r>
    </w:p>
    <w:p w14:paraId="7E5433E2" w14:textId="501A2939" w:rsidR="00B413E0" w:rsidRDefault="00B413E0" w:rsidP="003D272A">
      <w:r>
        <w:lastRenderedPageBreak/>
        <w:t xml:space="preserve">Each Government will designate a committee responsible for making budget decisions on behalf of Cabinet. This committee is responsible for considering all output, revenue, asset investment and financing proposals submitted by </w:t>
      </w:r>
      <w:r w:rsidR="001316CD">
        <w:t>D</w:t>
      </w:r>
      <w:r>
        <w:t xml:space="preserve">epartments on behalf of Ministers for the development and delivery of the State Budget. This committee </w:t>
      </w:r>
      <w:r w:rsidR="00FD7AEF">
        <w:t xml:space="preserve">usually comprises </w:t>
      </w:r>
      <w:r>
        <w:t>the Premier, Treasurer, Minister for Finance</w:t>
      </w:r>
      <w:r w:rsidR="00FD7AEF">
        <w:t xml:space="preserve">, and </w:t>
      </w:r>
      <w:r w:rsidR="004955D1">
        <w:t xml:space="preserve">potentially, a number of </w:t>
      </w:r>
      <w:r w:rsidR="00FD7AEF">
        <w:t xml:space="preserve">other Ministers. </w:t>
      </w:r>
    </w:p>
    <w:p w14:paraId="7F57696C" w14:textId="2E44322E" w:rsidR="00B413E0" w:rsidRDefault="00134994" w:rsidP="003D272A">
      <w:r>
        <w:t>The Department of Treasury and Finance (</w:t>
      </w:r>
      <w:r w:rsidR="00B413E0">
        <w:t>DTF</w:t>
      </w:r>
      <w:r>
        <w:t>)</w:t>
      </w:r>
      <w:r w:rsidR="00B413E0">
        <w:t xml:space="preserve"> supports this committee in its b</w:t>
      </w:r>
      <w:r w:rsidR="00FD79F1">
        <w:t>udget deliberations by providing:</w:t>
      </w:r>
    </w:p>
    <w:p w14:paraId="57744C0B" w14:textId="77777777" w:rsidR="00B413E0" w:rsidRDefault="001316CD" w:rsidP="000B672C">
      <w:pPr>
        <w:pStyle w:val="Numpara"/>
      </w:pPr>
      <w:r>
        <w:t>p</w:t>
      </w:r>
      <w:r w:rsidR="00B413E0">
        <w:t>rocess management and secretariat support; and</w:t>
      </w:r>
    </w:p>
    <w:p w14:paraId="23962CEC" w14:textId="3773224E" w:rsidR="00B413E0" w:rsidRDefault="00B413E0" w:rsidP="000B672C">
      <w:pPr>
        <w:pStyle w:val="Numpara"/>
      </w:pPr>
      <w:r>
        <w:t xml:space="preserve">information, advice and recommendations to support </w:t>
      </w:r>
      <w:r w:rsidR="001316CD">
        <w:t xml:space="preserve">its </w:t>
      </w:r>
      <w:r>
        <w:t>decision</w:t>
      </w:r>
      <w:r w:rsidR="00B43BB4">
        <w:t>-</w:t>
      </w:r>
      <w:r>
        <w:t>making</w:t>
      </w:r>
      <w:r w:rsidR="006A08DA">
        <w:t>, in conjunction with the Department of Premier and Cabinet</w:t>
      </w:r>
      <w:r>
        <w:t>.</w:t>
      </w:r>
    </w:p>
    <w:p w14:paraId="534614ED" w14:textId="0909B6C5" w:rsidR="000D52A6" w:rsidRDefault="00B413E0" w:rsidP="003D272A">
      <w:r>
        <w:t>Portfolio Ministers are responsible for recommending the initiatives th</w:t>
      </w:r>
      <w:r w:rsidR="00FD7AEF">
        <w:t>ey would like to be</w:t>
      </w:r>
      <w:r>
        <w:t xml:space="preserve"> funded</w:t>
      </w:r>
      <w:r w:rsidR="00134994">
        <w:t xml:space="preserve"> to this Cabinet committee</w:t>
      </w:r>
      <w:r>
        <w:t>. Once the committee finalises their decisions based on the submissions of portfolio Ministers</w:t>
      </w:r>
      <w:r w:rsidR="004955D1">
        <w:t xml:space="preserve"> and the Government’s overall priorities and objectives</w:t>
      </w:r>
      <w:r>
        <w:t xml:space="preserve">, DTF proceeds with </w:t>
      </w:r>
      <w:r w:rsidR="00E52376">
        <w:t xml:space="preserve">the </w:t>
      </w:r>
      <w:r>
        <w:t>prepar</w:t>
      </w:r>
      <w:r w:rsidR="00E52376">
        <w:t>ation</w:t>
      </w:r>
      <w:r w:rsidR="00134994">
        <w:t xml:space="preserve"> of</w:t>
      </w:r>
      <w:r>
        <w:t xml:space="preserve"> the State Budget </w:t>
      </w:r>
      <w:r w:rsidR="00134994">
        <w:t>p</w:t>
      </w:r>
      <w:r>
        <w:t>apers.</w:t>
      </w:r>
    </w:p>
    <w:p w14:paraId="429DB4F8" w14:textId="77777777" w:rsidR="00E52376" w:rsidRDefault="00E52376" w:rsidP="003D272A">
      <w:pPr>
        <w:pStyle w:val="Heading4"/>
      </w:pPr>
      <w:r>
        <w:t>Tabling of the Budget</w:t>
      </w:r>
    </w:p>
    <w:p w14:paraId="37346503" w14:textId="5E78AC11" w:rsidR="006A21C4" w:rsidRDefault="00D2469B" w:rsidP="003D272A">
      <w:r>
        <w:t>Usually o</w:t>
      </w:r>
      <w:r w:rsidR="006A21C4">
        <w:t xml:space="preserve">n the first Tuesday in May each year, the Treasurer </w:t>
      </w:r>
      <w:r w:rsidR="00FD7AEF">
        <w:t>introduces</w:t>
      </w:r>
      <w:r w:rsidR="006A21C4">
        <w:t xml:space="preserve"> </w:t>
      </w:r>
      <w:r>
        <w:t>the Appropriation</w:t>
      </w:r>
      <w:r w:rsidR="006A21C4">
        <w:t xml:space="preserve"> Bill to Parliament to appropriate public </w:t>
      </w:r>
      <w:r w:rsidR="00726B88">
        <w:t xml:space="preserve">money, in addition to the annual </w:t>
      </w:r>
      <w:r w:rsidR="006A21C4">
        <w:t xml:space="preserve">State Budget </w:t>
      </w:r>
      <w:r w:rsidR="00134994">
        <w:t>p</w:t>
      </w:r>
      <w:r w:rsidR="006A21C4">
        <w:t>apers. These documents provide a statement of Victoria’s budget position, detail</w:t>
      </w:r>
      <w:r w:rsidR="00134994">
        <w:t>s</w:t>
      </w:r>
      <w:r w:rsidR="006A21C4">
        <w:t xml:space="preserve"> how </w:t>
      </w:r>
      <w:r w:rsidR="00134994">
        <w:t xml:space="preserve">the </w:t>
      </w:r>
      <w:r w:rsidR="006A21C4">
        <w:t xml:space="preserve">Government will spend the public money it expects to collect over the next year, and requests </w:t>
      </w:r>
      <w:r w:rsidR="00385ED8">
        <w:t xml:space="preserve">approval </w:t>
      </w:r>
      <w:r w:rsidR="006A21C4">
        <w:t xml:space="preserve">from </w:t>
      </w:r>
      <w:r w:rsidR="008F2EEE">
        <w:t xml:space="preserve">the </w:t>
      </w:r>
      <w:r w:rsidR="006A21C4">
        <w:t>Parliament to use public money for that year.</w:t>
      </w:r>
    </w:p>
    <w:p w14:paraId="3785B4AD" w14:textId="77777777" w:rsidR="0039692D" w:rsidRDefault="0039692D">
      <w:pPr>
        <w:spacing w:before="0" w:after="200"/>
        <w:rPr>
          <w:rFonts w:asciiTheme="majorHAnsi" w:eastAsiaTheme="majorEastAsia" w:hAnsiTheme="majorHAnsi" w:cstheme="majorBidi"/>
          <w:b/>
          <w:bCs/>
          <w:color w:val="201547"/>
          <w:spacing w:val="-1"/>
          <w:sz w:val="36"/>
          <w:szCs w:val="28"/>
        </w:rPr>
      </w:pPr>
      <w:r>
        <w:br w:type="page"/>
      </w:r>
    </w:p>
    <w:p w14:paraId="484C78CA" w14:textId="48992DFA" w:rsidR="00B413E0" w:rsidRDefault="000D52A6" w:rsidP="003D272A">
      <w:pPr>
        <w:pStyle w:val="Heading1"/>
      </w:pPr>
      <w:bookmarkStart w:id="19" w:name="_Toc476658080"/>
      <w:r>
        <w:lastRenderedPageBreak/>
        <w:t>The legislation supporting the State’s resource management framework</w:t>
      </w:r>
      <w:bookmarkEnd w:id="19"/>
      <w:r>
        <w:t xml:space="preserve"> </w:t>
      </w:r>
    </w:p>
    <w:p w14:paraId="38C2C383" w14:textId="673D5C46" w:rsidR="000D52A6" w:rsidRDefault="000D52A6" w:rsidP="003D272A">
      <w:r>
        <w:t xml:space="preserve">While the Constitution provides broad powers for </w:t>
      </w:r>
      <w:r w:rsidR="00AF1EC1">
        <w:t>g</w:t>
      </w:r>
      <w:r>
        <w:t xml:space="preserve">overnment to use public money, there are laws that specifically govern the use of </w:t>
      </w:r>
      <w:r w:rsidR="00DA71C1">
        <w:t>that</w:t>
      </w:r>
      <w:r>
        <w:t xml:space="preserve"> money and the accountability processes that </w:t>
      </w:r>
      <w:r w:rsidR="00136559">
        <w:t>g</w:t>
      </w:r>
      <w:r>
        <w:t>overnment is obliged to satisfy.</w:t>
      </w:r>
    </w:p>
    <w:p w14:paraId="22D3422C" w14:textId="77777777" w:rsidR="000D52A6" w:rsidRDefault="00922413" w:rsidP="003D272A">
      <w:r>
        <w:t xml:space="preserve">The </w:t>
      </w:r>
      <w:r w:rsidR="000D52A6">
        <w:t>three</w:t>
      </w:r>
      <w:r>
        <w:t xml:space="preserve"> princip</w:t>
      </w:r>
      <w:r w:rsidR="001805C4">
        <w:t>al</w:t>
      </w:r>
      <w:r w:rsidR="000D52A6">
        <w:t xml:space="preserve"> pieces of legislation that underpin the State’s resource management frameworks</w:t>
      </w:r>
      <w:r>
        <w:t xml:space="preserve"> are the</w:t>
      </w:r>
      <w:r w:rsidR="000D52A6">
        <w:t>:</w:t>
      </w:r>
    </w:p>
    <w:p w14:paraId="1D9E53B3" w14:textId="0EBE6B63" w:rsidR="000D52A6" w:rsidRPr="000F010F" w:rsidRDefault="000D52A6" w:rsidP="000B672C">
      <w:pPr>
        <w:pStyle w:val="Bullet1"/>
      </w:pPr>
      <w:r w:rsidRPr="000D52A6">
        <w:t>Financial Management Act 1994</w:t>
      </w:r>
      <w:r w:rsidR="00AF1EC1">
        <w:t xml:space="preserve"> (FMA)</w:t>
      </w:r>
      <w:r w:rsidR="001316CD" w:rsidRPr="000F010F">
        <w:t>;</w:t>
      </w:r>
    </w:p>
    <w:p w14:paraId="5DFDB8F7" w14:textId="77777777" w:rsidR="000D52A6" w:rsidRPr="000D52A6" w:rsidRDefault="000D52A6" w:rsidP="000B672C">
      <w:pPr>
        <w:pStyle w:val="Bullet1"/>
      </w:pPr>
      <w:r w:rsidRPr="000D52A6">
        <w:t>Audit Act 1994</w:t>
      </w:r>
      <w:r w:rsidR="001316CD">
        <w:t xml:space="preserve">; </w:t>
      </w:r>
      <w:r w:rsidR="001316CD" w:rsidRPr="00FE5561">
        <w:t>and</w:t>
      </w:r>
    </w:p>
    <w:p w14:paraId="69ADCBBF" w14:textId="77777777" w:rsidR="000D52A6" w:rsidRDefault="000D52A6" w:rsidP="000B672C">
      <w:pPr>
        <w:pStyle w:val="Bullet1"/>
      </w:pPr>
      <w:r>
        <w:t>Annual Appropriation Act</w:t>
      </w:r>
      <w:r w:rsidR="00922413">
        <w:t>s</w:t>
      </w:r>
      <w:r w:rsidR="001316CD">
        <w:t>.</w:t>
      </w:r>
    </w:p>
    <w:p w14:paraId="4B6E4D6E" w14:textId="62F30DFA" w:rsidR="000D52A6" w:rsidRDefault="000D52A6" w:rsidP="003D272A">
      <w:pPr>
        <w:pStyle w:val="Heading3"/>
      </w:pPr>
      <w:r>
        <w:t xml:space="preserve">The </w:t>
      </w:r>
      <w:r w:rsidRPr="003D272A">
        <w:rPr>
          <w:i/>
        </w:rPr>
        <w:t>Financial Management Act 1994</w:t>
      </w:r>
    </w:p>
    <w:p w14:paraId="619D5624" w14:textId="216C0C22" w:rsidR="000D52A6" w:rsidRDefault="000D52A6" w:rsidP="003D272A">
      <w:r>
        <w:t xml:space="preserve">The FMA is a key piece of legislation underpinning the financial management framework in Victoria. It administers the use of public money and the accountability processes and secondary legislation </w:t>
      </w:r>
      <w:r w:rsidR="00136559">
        <w:t xml:space="preserve">that </w:t>
      </w:r>
      <w:r>
        <w:t>departments and public entities must comply</w:t>
      </w:r>
      <w:r w:rsidR="00136559">
        <w:t xml:space="preserve"> with</w:t>
      </w:r>
      <w:r>
        <w:t xml:space="preserve">. </w:t>
      </w:r>
    </w:p>
    <w:p w14:paraId="6BFE9378" w14:textId="546A7AA1" w:rsidR="000D52A6" w:rsidRDefault="00EF7469" w:rsidP="003D272A">
      <w:r>
        <w:t>Its key elements:</w:t>
      </w:r>
    </w:p>
    <w:p w14:paraId="206C4E1E" w14:textId="77777777" w:rsidR="000D52A6" w:rsidRDefault="00EF7469" w:rsidP="000B672C">
      <w:pPr>
        <w:pStyle w:val="Bullet1"/>
      </w:pPr>
      <w:r>
        <w:t xml:space="preserve">relate to </w:t>
      </w:r>
      <w:r w:rsidR="000D52A6">
        <w:t>the financial administration of money coming into the hands of the Government;</w:t>
      </w:r>
    </w:p>
    <w:p w14:paraId="75FDA18C" w14:textId="5F5DC936" w:rsidR="000D52A6" w:rsidRDefault="00EF7469" w:rsidP="000B672C">
      <w:pPr>
        <w:pStyle w:val="Bullet1"/>
      </w:pPr>
      <w:r>
        <w:t>prescribe</w:t>
      </w:r>
      <w:r w:rsidR="000D52A6">
        <w:t xml:space="preserve"> the collection, management and expenditure of, and</w:t>
      </w:r>
      <w:r w:rsidR="00922413">
        <w:t xml:space="preserve"> the subsequent accounting </w:t>
      </w:r>
      <w:r w:rsidR="008F2EEE">
        <w:t xml:space="preserve">and reporting to the Parliament </w:t>
      </w:r>
      <w:r w:rsidR="00922413">
        <w:t xml:space="preserve">for </w:t>
      </w:r>
      <w:r w:rsidR="000D52A6">
        <w:t>money</w:t>
      </w:r>
      <w:r w:rsidR="00922413">
        <w:t>, public</w:t>
      </w:r>
      <w:r w:rsidR="000D52A6">
        <w:t xml:space="preserve"> property and other property;</w:t>
      </w:r>
    </w:p>
    <w:p w14:paraId="1E2B7119" w14:textId="24DABD68" w:rsidR="000D52A6" w:rsidRDefault="00EF7469" w:rsidP="000B672C">
      <w:pPr>
        <w:pStyle w:val="Bullet1"/>
      </w:pPr>
      <w:r>
        <w:t>establish and define</w:t>
      </w:r>
      <w:r w:rsidR="000D52A6">
        <w:t xml:space="preserve"> the scope of the </w:t>
      </w:r>
      <w:r w:rsidR="008F2EEE">
        <w:t xml:space="preserve">Public Account, including the </w:t>
      </w:r>
      <w:r w:rsidR="000D52A6">
        <w:t>Consolidated Fund and the Trust Fund; and</w:t>
      </w:r>
    </w:p>
    <w:p w14:paraId="039E7BAA" w14:textId="77777777" w:rsidR="000D52A6" w:rsidRDefault="00EF7469" w:rsidP="000B672C">
      <w:pPr>
        <w:pStyle w:val="Bullet1"/>
      </w:pPr>
      <w:r>
        <w:t>include</w:t>
      </w:r>
      <w:r w:rsidR="000D52A6">
        <w:t xml:space="preserve"> financial responsibility and budget management provisions.</w:t>
      </w:r>
    </w:p>
    <w:p w14:paraId="71FAE958" w14:textId="77777777" w:rsidR="000D52A6" w:rsidRDefault="000D52A6" w:rsidP="003D272A">
      <w:r>
        <w:t xml:space="preserve">Section 40 of the </w:t>
      </w:r>
      <w:r w:rsidR="000807DC">
        <w:t xml:space="preserve">FMA </w:t>
      </w:r>
      <w:r>
        <w:t>relates to the Government’s commitment to output management by providing that a separate statement must accompany the annual Appropriation Bills, detailing:</w:t>
      </w:r>
    </w:p>
    <w:p w14:paraId="41D6C4D6" w14:textId="77777777" w:rsidR="000D52A6" w:rsidRDefault="000D52A6" w:rsidP="000B672C">
      <w:pPr>
        <w:pStyle w:val="Bullet1"/>
      </w:pPr>
      <w:r>
        <w:t xml:space="preserve">the goods and services produced or provided by each </w:t>
      </w:r>
      <w:r w:rsidR="000807DC">
        <w:t>D</w:t>
      </w:r>
      <w:r>
        <w:t>epartment;</w:t>
      </w:r>
    </w:p>
    <w:p w14:paraId="674A26EC" w14:textId="77777777" w:rsidR="000D52A6" w:rsidRDefault="000D52A6" w:rsidP="000B672C">
      <w:pPr>
        <w:pStyle w:val="Bullet1"/>
      </w:pPr>
      <w:r>
        <w:t xml:space="preserve">a description of the funds available to each </w:t>
      </w:r>
      <w:r w:rsidR="000807DC">
        <w:t>D</w:t>
      </w:r>
      <w:r>
        <w:t>epartment during the period;</w:t>
      </w:r>
    </w:p>
    <w:p w14:paraId="22C41C21" w14:textId="77777777" w:rsidR="000D52A6" w:rsidRDefault="000D52A6" w:rsidP="000B672C">
      <w:pPr>
        <w:pStyle w:val="Bullet1"/>
      </w:pPr>
      <w:r>
        <w:t xml:space="preserve">the estimated receipts of the </w:t>
      </w:r>
      <w:r w:rsidR="000807DC">
        <w:t>D</w:t>
      </w:r>
      <w:r>
        <w:t>epartment; and</w:t>
      </w:r>
    </w:p>
    <w:p w14:paraId="5877E325" w14:textId="77777777" w:rsidR="000D52A6" w:rsidRDefault="000D52A6" w:rsidP="000B672C">
      <w:pPr>
        <w:pStyle w:val="Bullet1"/>
      </w:pPr>
      <w:r>
        <w:t>such other information as the Minister determines.</w:t>
      </w:r>
    </w:p>
    <w:p w14:paraId="0A51F563" w14:textId="6DE82BD2" w:rsidR="000D52A6" w:rsidRDefault="000D52A6" w:rsidP="003D272A">
      <w:r>
        <w:t xml:space="preserve">These requirements are met through the content of the annual Budget </w:t>
      </w:r>
      <w:r w:rsidR="00136559">
        <w:t>p</w:t>
      </w:r>
      <w:r>
        <w:t xml:space="preserve">apers, in particular </w:t>
      </w:r>
      <w:r w:rsidRPr="005F2A25">
        <w:t>Budget Paper No.</w:t>
      </w:r>
      <w:r w:rsidR="000B672C">
        <w:t> </w:t>
      </w:r>
      <w:r w:rsidRPr="005F2A25">
        <w:t>3</w:t>
      </w:r>
      <w:r>
        <w:t xml:space="preserve"> (</w:t>
      </w:r>
      <w:r w:rsidRPr="005F2A25">
        <w:rPr>
          <w:i/>
        </w:rPr>
        <w:t>Service Delivery</w:t>
      </w:r>
      <w:r>
        <w:t xml:space="preserve">) and </w:t>
      </w:r>
      <w:r w:rsidRPr="005F2A25">
        <w:t>Budget Paper No.5</w:t>
      </w:r>
      <w:r>
        <w:t xml:space="preserve"> (</w:t>
      </w:r>
      <w:r w:rsidRPr="005F2A25">
        <w:rPr>
          <w:i/>
        </w:rPr>
        <w:t>Statement of Finances</w:t>
      </w:r>
      <w:r>
        <w:t>).</w:t>
      </w:r>
    </w:p>
    <w:p w14:paraId="053F7C82" w14:textId="77777777" w:rsidR="000D52A6" w:rsidRPr="00922413" w:rsidRDefault="000D52A6" w:rsidP="003D272A">
      <w:pPr>
        <w:pStyle w:val="Heading3"/>
      </w:pPr>
      <w:r>
        <w:t xml:space="preserve">The </w:t>
      </w:r>
      <w:r w:rsidRPr="003D272A">
        <w:rPr>
          <w:i/>
        </w:rPr>
        <w:t>Audit Act 1994</w:t>
      </w:r>
    </w:p>
    <w:p w14:paraId="1838F347" w14:textId="77777777" w:rsidR="00D01BD2" w:rsidRDefault="00D01BD2" w:rsidP="003D272A">
      <w:r>
        <w:t xml:space="preserve">The Auditor-General is an independent officer of the Victorian Parliament, appointed under the </w:t>
      </w:r>
      <w:r w:rsidRPr="005F2A25">
        <w:rPr>
          <w:i/>
        </w:rPr>
        <w:t>Constitution Act 1975</w:t>
      </w:r>
      <w:r>
        <w:t xml:space="preserve"> to conduct and report on financial and performance audits in the Victorian public sector.</w:t>
      </w:r>
    </w:p>
    <w:p w14:paraId="2F714088" w14:textId="77777777" w:rsidR="0039692D" w:rsidRDefault="0039692D">
      <w:pPr>
        <w:spacing w:before="0" w:after="200"/>
      </w:pPr>
      <w:r>
        <w:br w:type="page"/>
      </w:r>
    </w:p>
    <w:p w14:paraId="5BD9A982" w14:textId="39488DB6" w:rsidR="00D01BD2" w:rsidRDefault="00D01BD2" w:rsidP="003D272A">
      <w:r>
        <w:lastRenderedPageBreak/>
        <w:t xml:space="preserve">The </w:t>
      </w:r>
      <w:r w:rsidRPr="005F2A25">
        <w:rPr>
          <w:i/>
        </w:rPr>
        <w:t>Audit Act 1994</w:t>
      </w:r>
      <w:r>
        <w:t xml:space="preserve"> (the Act) governs the powers and functions of the Auditor-General. The Act establishes the legislative framework governing the ongoing role and functions of the Auditor- General. This Act identifies the statutory powers and responsibilities of the Auditor</w:t>
      </w:r>
      <w:r>
        <w:noBreakHyphen/>
        <w:t>General. It provides the authority for the Auditor-General to:</w:t>
      </w:r>
    </w:p>
    <w:p w14:paraId="4848BB57" w14:textId="51A46211" w:rsidR="00D01BD2" w:rsidRDefault="00D01BD2" w:rsidP="000B672C">
      <w:pPr>
        <w:pStyle w:val="Bullet1"/>
      </w:pPr>
      <w:r>
        <w:t>conduct annual financial statement audits of public sector agencies</w:t>
      </w:r>
      <w:r w:rsidR="00B92B94">
        <w:t>;</w:t>
      </w:r>
    </w:p>
    <w:p w14:paraId="2947CDA7" w14:textId="2A5310A7" w:rsidR="00D01BD2" w:rsidRDefault="00D01BD2" w:rsidP="000B672C">
      <w:pPr>
        <w:pStyle w:val="Bullet1"/>
      </w:pPr>
      <w:r>
        <w:t>review and report on the estimated financial statements</w:t>
      </w:r>
      <w:r w:rsidR="00B92B94">
        <w:t>;</w:t>
      </w:r>
    </w:p>
    <w:p w14:paraId="42A9395D" w14:textId="4FB28E6A" w:rsidR="00D01BD2" w:rsidRDefault="00D01BD2" w:rsidP="000B672C">
      <w:pPr>
        <w:pStyle w:val="Bullet1"/>
      </w:pPr>
      <w:r>
        <w:t>undertake performance audits within the public sector which encompass assessments of the economy, efficiency and effectiveness of the management of public resources by the government or individual government agencies</w:t>
      </w:r>
      <w:r w:rsidR="00B92B94">
        <w:t>;</w:t>
      </w:r>
    </w:p>
    <w:p w14:paraId="710A7960" w14:textId="100E57BF" w:rsidR="00D01BD2" w:rsidRDefault="00D01BD2" w:rsidP="000B672C">
      <w:pPr>
        <w:pStyle w:val="Bullet1"/>
      </w:pPr>
      <w:r>
        <w:t>examine the use of public grants received by both private and public sector organisations</w:t>
      </w:r>
      <w:r w:rsidR="00B92B94">
        <w:t>; and</w:t>
      </w:r>
    </w:p>
    <w:p w14:paraId="72527ECD" w14:textId="732FAC69" w:rsidR="00D01BD2" w:rsidRDefault="00D01BD2" w:rsidP="000B672C">
      <w:pPr>
        <w:pStyle w:val="Bullet1"/>
      </w:pPr>
      <w:r>
        <w:t>determine the efficiency, effectiveness and economy of the services or functions that are delivered through contracts with private or not-for-profit providers (associated entities) through 'follow-the-dollar’ performance audits.</w:t>
      </w:r>
    </w:p>
    <w:p w14:paraId="3D008577" w14:textId="77777777" w:rsidR="000D52A6" w:rsidRDefault="000D52A6" w:rsidP="003D272A">
      <w:pPr>
        <w:pStyle w:val="Heading3"/>
      </w:pPr>
      <w:r>
        <w:t>The annual Appropriation Act</w:t>
      </w:r>
      <w:r w:rsidR="001662C9">
        <w:t>s</w:t>
      </w:r>
    </w:p>
    <w:p w14:paraId="580D01CB" w14:textId="77777777" w:rsidR="00AC784A" w:rsidRDefault="00384EFB" w:rsidP="003D272A">
      <w:r>
        <w:t xml:space="preserve">An appropriation is an authority given by the Parliament to draw certain sums out of the Consolidated Fund, now or at some future point in time, for the purposes stated, up to the limit of the amount in the particular Act. </w:t>
      </w:r>
      <w:r w:rsidR="00AC784A">
        <w:t>It authorises the Government to use money from the Consolidated Fund, but it also restricts the expenditure to the particular purpose specified by the appropriation.</w:t>
      </w:r>
    </w:p>
    <w:p w14:paraId="060AA13E" w14:textId="77777777" w:rsidR="000D52A6" w:rsidRDefault="000D52A6" w:rsidP="003D272A">
      <w:r>
        <w:t>The Appropriation Act is issued annually and:</w:t>
      </w:r>
    </w:p>
    <w:p w14:paraId="60D8687D" w14:textId="77777777" w:rsidR="000D52A6" w:rsidRDefault="000D52A6" w:rsidP="000B672C">
      <w:pPr>
        <w:pStyle w:val="Bullet1"/>
      </w:pPr>
      <w:r>
        <w:t>provides the Treasurer the authority to commit money from the Consolidated Fund, up to a specified amount; and</w:t>
      </w:r>
    </w:p>
    <w:p w14:paraId="692D809D" w14:textId="7B65B445" w:rsidR="000D52A6" w:rsidRDefault="000D52A6" w:rsidP="000B672C">
      <w:pPr>
        <w:pStyle w:val="Bullet1"/>
      </w:pPr>
      <w:r>
        <w:t xml:space="preserve">sets out how much </w:t>
      </w:r>
      <w:r w:rsidR="00922413">
        <w:t>of that specified amount may</w:t>
      </w:r>
      <w:r>
        <w:t xml:space="preserve"> be applied to each Department and </w:t>
      </w:r>
      <w:r w:rsidR="008F2EEE">
        <w:t xml:space="preserve">the </w:t>
      </w:r>
      <w:r>
        <w:t>purpose</w:t>
      </w:r>
      <w:r w:rsidR="008F2EEE">
        <w:t>(s) for which</w:t>
      </w:r>
      <w:r>
        <w:t xml:space="preserve"> that funding is provided.</w:t>
      </w:r>
    </w:p>
    <w:p w14:paraId="11ABF4E2" w14:textId="77777777" w:rsidR="00822C49" w:rsidRDefault="00822C49" w:rsidP="003D272A">
      <w:pPr>
        <w:pStyle w:val="Heading3"/>
      </w:pPr>
      <w:r>
        <w:t>Further legislation</w:t>
      </w:r>
    </w:p>
    <w:p w14:paraId="0CDE4085" w14:textId="027A8A30" w:rsidR="00822C49" w:rsidRDefault="00822C49" w:rsidP="003D272A">
      <w:r w:rsidRPr="00B8065D">
        <w:t xml:space="preserve">The above legislation is also supported by </w:t>
      </w:r>
      <w:r w:rsidR="00242C64">
        <w:t xml:space="preserve">the </w:t>
      </w:r>
      <w:r w:rsidRPr="00B8065D">
        <w:rPr>
          <w:i/>
        </w:rPr>
        <w:t>Public Administration Act 2004</w:t>
      </w:r>
      <w:r w:rsidRPr="00B8065D">
        <w:t xml:space="preserve"> and the </w:t>
      </w:r>
      <w:r w:rsidRPr="00B8065D">
        <w:rPr>
          <w:i/>
        </w:rPr>
        <w:t>Borrowing and Investment Powers Act 1987</w:t>
      </w:r>
      <w:r w:rsidR="003F3F57">
        <w:t xml:space="preserve">. </w:t>
      </w:r>
      <w:r w:rsidR="002E7BCD">
        <w:t xml:space="preserve">The </w:t>
      </w:r>
      <w:r w:rsidRPr="00B8065D">
        <w:t>dia</w:t>
      </w:r>
      <w:r w:rsidR="00B8065D" w:rsidRPr="00B8065D">
        <w:t>gram</w:t>
      </w:r>
      <w:r w:rsidR="002E7BCD">
        <w:t xml:space="preserve"> below</w:t>
      </w:r>
      <w:r w:rsidR="00B8065D" w:rsidRPr="00B8065D">
        <w:t xml:space="preserve"> </w:t>
      </w:r>
      <w:r w:rsidR="003F3F57">
        <w:t xml:space="preserve">depicts how the </w:t>
      </w:r>
      <w:r w:rsidR="00242C64">
        <w:t>various</w:t>
      </w:r>
      <w:r w:rsidR="003F3F57">
        <w:t xml:space="preserve"> legislation interact:</w:t>
      </w:r>
    </w:p>
    <w:p w14:paraId="321405CA" w14:textId="77777777" w:rsidR="002E7BCD" w:rsidRDefault="002E7BCD" w:rsidP="003D272A"/>
    <w:p w14:paraId="455DED8E" w14:textId="77777777" w:rsidR="00B8065D" w:rsidRDefault="00B8065D" w:rsidP="00B8065D">
      <w:pPr>
        <w:pStyle w:val="NormalIndent"/>
      </w:pPr>
      <w:r>
        <w:rPr>
          <w:noProof/>
        </w:rPr>
        <w:drawing>
          <wp:inline distT="0" distB="0" distL="0" distR="0" wp14:anchorId="3C52E046" wp14:editId="5272C0EF">
            <wp:extent cx="5115259" cy="2592125"/>
            <wp:effectExtent l="0" t="0" r="9525" b="0"/>
            <wp:docPr id="18" name="Picture 18" descr="C:\Users\poc\AppData\Local\Temp\notesB6A2D0\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c\AppData\Local\Temp\notesB6A2D0\Captur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14819" cy="2591902"/>
                    </a:xfrm>
                    <a:prstGeom prst="rect">
                      <a:avLst/>
                    </a:prstGeom>
                    <a:noFill/>
                    <a:ln>
                      <a:noFill/>
                    </a:ln>
                  </pic:spPr>
                </pic:pic>
              </a:graphicData>
            </a:graphic>
          </wp:inline>
        </w:drawing>
      </w:r>
    </w:p>
    <w:p w14:paraId="7C59134E" w14:textId="13A8DE97" w:rsidR="000B672C" w:rsidRDefault="000B672C">
      <w:pPr>
        <w:spacing w:before="0" w:after="200"/>
        <w:rPr>
          <w:rFonts w:asciiTheme="majorHAnsi" w:eastAsiaTheme="majorEastAsia" w:hAnsiTheme="majorHAnsi" w:cstheme="majorBidi"/>
          <w:b/>
          <w:bCs/>
          <w:iCs/>
          <w:color w:val="53565A"/>
        </w:rPr>
      </w:pPr>
    </w:p>
    <w:p w14:paraId="6BB27BE9" w14:textId="77777777" w:rsidR="0039692D" w:rsidRDefault="0039692D">
      <w:pPr>
        <w:spacing w:before="0" w:after="200"/>
        <w:rPr>
          <w:rFonts w:asciiTheme="majorHAnsi" w:eastAsiaTheme="majorEastAsia" w:hAnsiTheme="majorHAnsi" w:cstheme="majorBidi"/>
          <w:b/>
          <w:bCs/>
          <w:iCs/>
          <w:color w:val="53565A"/>
        </w:rPr>
      </w:pPr>
      <w:r>
        <w:br w:type="page"/>
      </w:r>
    </w:p>
    <w:p w14:paraId="2AE1A519" w14:textId="7F72A1B4" w:rsidR="00826CA6" w:rsidRPr="004E5F1B" w:rsidRDefault="00826CA6" w:rsidP="003D272A">
      <w:pPr>
        <w:pStyle w:val="Heading4"/>
      </w:pPr>
      <w:r w:rsidRPr="00447980">
        <w:lastRenderedPageBreak/>
        <w:t xml:space="preserve">The </w:t>
      </w:r>
      <w:r w:rsidRPr="003D272A">
        <w:rPr>
          <w:i/>
        </w:rPr>
        <w:t>Public Administration Act 2004</w:t>
      </w:r>
    </w:p>
    <w:p w14:paraId="2D876C67" w14:textId="5DED8404" w:rsidR="004E5F1B" w:rsidRPr="004E5F1B" w:rsidRDefault="004E5F1B" w:rsidP="000B672C">
      <w:pPr>
        <w:rPr>
          <w:b/>
        </w:rPr>
      </w:pPr>
      <w:r w:rsidRPr="004E5F1B">
        <w:t xml:space="preserve">The </w:t>
      </w:r>
      <w:r w:rsidR="00136559" w:rsidRPr="00D5415B">
        <w:rPr>
          <w:i/>
        </w:rPr>
        <w:t>Public Administration Act 2004</w:t>
      </w:r>
      <w:r w:rsidR="00136559">
        <w:t xml:space="preserve"> (</w:t>
      </w:r>
      <w:r>
        <w:t>PAA</w:t>
      </w:r>
      <w:r w:rsidR="00136559">
        <w:t>)</w:t>
      </w:r>
      <w:r w:rsidRPr="004E5F1B">
        <w:t xml:space="preserve"> reflects the State Government’s </w:t>
      </w:r>
      <w:r w:rsidR="008F2EEE">
        <w:t>objective</w:t>
      </w:r>
      <w:r w:rsidR="008F2EEE" w:rsidRPr="004E5F1B">
        <w:t xml:space="preserve"> </w:t>
      </w:r>
      <w:r w:rsidRPr="004E5F1B">
        <w:t xml:space="preserve">that the fundamental role of the public service is to serve the public interest. The </w:t>
      </w:r>
      <w:r>
        <w:t>PAA</w:t>
      </w:r>
      <w:r w:rsidRPr="004E5F1B">
        <w:t xml:space="preserve"> demonstrates the Government’s commitment to:</w:t>
      </w:r>
    </w:p>
    <w:p w14:paraId="3F56675C" w14:textId="77777777" w:rsidR="004E5F1B" w:rsidRPr="004E5F1B" w:rsidRDefault="004E5F1B" w:rsidP="000B672C">
      <w:pPr>
        <w:pStyle w:val="Bullet1"/>
      </w:pPr>
      <w:r w:rsidRPr="004E5F1B">
        <w:t>sustain an effective and impartial public service</w:t>
      </w:r>
      <w:r w:rsidR="00FD79F1">
        <w:t>;</w:t>
      </w:r>
    </w:p>
    <w:p w14:paraId="70C81A3F" w14:textId="77777777" w:rsidR="004E5F1B" w:rsidRPr="004E5F1B" w:rsidRDefault="004E5F1B" w:rsidP="000B672C">
      <w:pPr>
        <w:pStyle w:val="Bullet1"/>
      </w:pPr>
      <w:r w:rsidRPr="004E5F1B">
        <w:t>protect public employment from politicisation by reaffirming and promoting the principles of merit and equity;</w:t>
      </w:r>
    </w:p>
    <w:p w14:paraId="47A3DD52" w14:textId="114E3F3A" w:rsidR="004E5F1B" w:rsidRPr="004E5F1B" w:rsidRDefault="004E5F1B" w:rsidP="000B672C">
      <w:pPr>
        <w:pStyle w:val="Bullet1"/>
      </w:pPr>
      <w:r w:rsidRPr="004E5F1B">
        <w:t xml:space="preserve">promote the highest standards of public service conduct and integrity thereby strengthening public confidence and trust in </w:t>
      </w:r>
      <w:r w:rsidR="00136559">
        <w:t>g</w:t>
      </w:r>
      <w:r w:rsidRPr="004E5F1B">
        <w:t>overnment</w:t>
      </w:r>
      <w:r w:rsidR="00FD79F1">
        <w:t>;</w:t>
      </w:r>
    </w:p>
    <w:p w14:paraId="746E6522" w14:textId="01DC3C89" w:rsidR="004E5F1B" w:rsidRPr="004E5F1B" w:rsidRDefault="004E5F1B" w:rsidP="000B672C">
      <w:pPr>
        <w:pStyle w:val="Bullet1"/>
      </w:pPr>
      <w:r w:rsidRPr="004E5F1B">
        <w:t xml:space="preserve">drive further improvements in </w:t>
      </w:r>
      <w:r w:rsidR="00136559">
        <w:t xml:space="preserve">the </w:t>
      </w:r>
      <w:r w:rsidRPr="004E5F1B">
        <w:t xml:space="preserve">integrated delivery of </w:t>
      </w:r>
      <w:r w:rsidR="00136559">
        <w:t>g</w:t>
      </w:r>
      <w:r w:rsidRPr="004E5F1B">
        <w:t>overnment services</w:t>
      </w:r>
      <w:r w:rsidR="00FD79F1">
        <w:t>;</w:t>
      </w:r>
    </w:p>
    <w:p w14:paraId="4A2ABB18" w14:textId="77777777" w:rsidR="004E5F1B" w:rsidRPr="004E5F1B" w:rsidRDefault="004E5F1B" w:rsidP="000B672C">
      <w:pPr>
        <w:pStyle w:val="Bullet1"/>
      </w:pPr>
      <w:r w:rsidRPr="004E5F1B">
        <w:t>promote career opportunities in the public sector by ensuring a more coherent approach to workforce management and professional development</w:t>
      </w:r>
      <w:r w:rsidR="00FD79F1">
        <w:t>;</w:t>
      </w:r>
    </w:p>
    <w:p w14:paraId="6458575E" w14:textId="77777777" w:rsidR="004E5F1B" w:rsidRPr="004E5F1B" w:rsidRDefault="004E5F1B" w:rsidP="000B672C">
      <w:pPr>
        <w:pStyle w:val="Bullet1"/>
      </w:pPr>
      <w:r w:rsidRPr="004E5F1B">
        <w:t>ensure the public sector workforce is capable of delivering high quality services to the Victorian community, both now and into the future</w:t>
      </w:r>
      <w:r w:rsidR="00FD79F1">
        <w:t>;</w:t>
      </w:r>
    </w:p>
    <w:p w14:paraId="2C1C8E36" w14:textId="77777777" w:rsidR="004E5F1B" w:rsidRPr="004E5F1B" w:rsidRDefault="004E5F1B" w:rsidP="000B672C">
      <w:pPr>
        <w:pStyle w:val="Bullet1"/>
      </w:pPr>
      <w:r w:rsidRPr="004E5F1B">
        <w:t>promote standards of good governance in public entities</w:t>
      </w:r>
      <w:r w:rsidR="00FD79F1">
        <w:t>; and</w:t>
      </w:r>
    </w:p>
    <w:p w14:paraId="5E887805" w14:textId="77777777" w:rsidR="004E5F1B" w:rsidRDefault="004E5F1B" w:rsidP="000B672C">
      <w:pPr>
        <w:pStyle w:val="Bullet1"/>
        <w:rPr>
          <w:b/>
        </w:rPr>
      </w:pPr>
      <w:r w:rsidRPr="004E5F1B">
        <w:t>clarify the accountability relationship of public entities to a responsible Minister who, in turn, is accountable to Parliament.</w:t>
      </w:r>
    </w:p>
    <w:p w14:paraId="34713FD1" w14:textId="10CD85A1" w:rsidR="00826CA6" w:rsidRPr="003D272A" w:rsidRDefault="00826CA6" w:rsidP="003D272A">
      <w:pPr>
        <w:pStyle w:val="Heading4"/>
        <w:rPr>
          <w:i/>
        </w:rPr>
      </w:pPr>
      <w:r w:rsidRPr="003D272A">
        <w:rPr>
          <w:i/>
        </w:rPr>
        <w:t>Borrowing and Investment Powers Act 1987</w:t>
      </w:r>
    </w:p>
    <w:p w14:paraId="77AA1342" w14:textId="5287F92E" w:rsidR="00897C5E" w:rsidRPr="00897C5E" w:rsidRDefault="00897C5E" w:rsidP="003D272A">
      <w:pPr>
        <w:rPr>
          <w:b/>
        </w:rPr>
      </w:pPr>
      <w:r w:rsidRPr="00897C5E">
        <w:t xml:space="preserve">The purpose of the </w:t>
      </w:r>
      <w:r w:rsidR="00136559" w:rsidRPr="00D5415B">
        <w:rPr>
          <w:i/>
        </w:rPr>
        <w:t xml:space="preserve">Borrowings and Investment Powers Act </w:t>
      </w:r>
      <w:r w:rsidR="00DD177A" w:rsidRPr="00D5415B">
        <w:rPr>
          <w:i/>
        </w:rPr>
        <w:t>1987</w:t>
      </w:r>
      <w:r w:rsidRPr="00897C5E">
        <w:t xml:space="preserve"> is to provide statutory authorities with the power to borrow and invest in a wide range of financial products</w:t>
      </w:r>
      <w:r w:rsidR="00726B88">
        <w:t>,</w:t>
      </w:r>
      <w:r w:rsidRPr="00897C5E">
        <w:t xml:space="preserve"> and to access the financial arrangements required to effectively manage their debt and investment portfolios.</w:t>
      </w:r>
    </w:p>
    <w:p w14:paraId="508E557E" w14:textId="77777777" w:rsidR="0039692D" w:rsidRDefault="0039692D">
      <w:pPr>
        <w:spacing w:before="0" w:after="200"/>
        <w:rPr>
          <w:rFonts w:asciiTheme="majorHAnsi" w:eastAsiaTheme="majorEastAsia" w:hAnsiTheme="majorHAnsi" w:cstheme="majorBidi"/>
          <w:b/>
          <w:bCs/>
          <w:color w:val="201547"/>
          <w:spacing w:val="-1"/>
          <w:sz w:val="36"/>
          <w:szCs w:val="28"/>
        </w:rPr>
      </w:pPr>
      <w:r>
        <w:br w:type="page"/>
      </w:r>
    </w:p>
    <w:p w14:paraId="297D3156" w14:textId="1F71170F" w:rsidR="000D52A6" w:rsidRDefault="00A72E1E" w:rsidP="003D272A">
      <w:pPr>
        <w:pStyle w:val="Heading1"/>
      </w:pPr>
      <w:bookmarkStart w:id="20" w:name="_Toc476658081"/>
      <w:r w:rsidRPr="0047467F">
        <w:lastRenderedPageBreak/>
        <w:t>The State’s appropriation framework</w:t>
      </w:r>
      <w:bookmarkEnd w:id="20"/>
    </w:p>
    <w:p w14:paraId="42DA86A2" w14:textId="77777777" w:rsidR="00341B1C" w:rsidRPr="00837C86" w:rsidRDefault="00341B1C" w:rsidP="003D272A">
      <w:pPr>
        <w:pStyle w:val="Heading2"/>
      </w:pPr>
      <w:bookmarkStart w:id="21" w:name="_Toc476658082"/>
      <w:r w:rsidRPr="00837C86">
        <w:t>The framework at a glance</w:t>
      </w:r>
      <w:bookmarkEnd w:id="21"/>
    </w:p>
    <w:p w14:paraId="546BDF40" w14:textId="77777777" w:rsidR="00915F84" w:rsidRDefault="00915F84" w:rsidP="003D272A">
      <w:r>
        <w:t>Financial management is concerned with the sourcing, distributing and management of public money, to ensure funds are used appropriately and efficiently. Effective financial management allows for the continued delivery of public goods and services.</w:t>
      </w:r>
    </w:p>
    <w:p w14:paraId="49607164" w14:textId="53CBF1FE" w:rsidR="000D52A6" w:rsidRDefault="00915F84" w:rsidP="003D272A">
      <w:r>
        <w:t>The diag</w:t>
      </w:r>
      <w:r w:rsidR="00934836">
        <w:t xml:space="preserve">ram below </w:t>
      </w:r>
      <w:r w:rsidR="006B11CE">
        <w:t>illustrates</w:t>
      </w:r>
      <w:r>
        <w:t xml:space="preserve"> the State’s </w:t>
      </w:r>
      <w:r w:rsidR="00A72E1E">
        <w:t>appropriation</w:t>
      </w:r>
      <w:r>
        <w:t xml:space="preserve"> framework. This framework ensures accountability and transparency, so it is clear how public money is being used. The </w:t>
      </w:r>
      <w:r w:rsidRPr="006E5480">
        <w:rPr>
          <w:i/>
        </w:rPr>
        <w:t xml:space="preserve">Constitution </w:t>
      </w:r>
      <w:r w:rsidR="003D272A">
        <w:rPr>
          <w:i/>
        </w:rPr>
        <w:t>Act </w:t>
      </w:r>
      <w:r w:rsidR="00AF1EC1" w:rsidRPr="006E5480">
        <w:rPr>
          <w:i/>
        </w:rPr>
        <w:t>1975</w:t>
      </w:r>
      <w:r w:rsidR="00AF1EC1">
        <w:t xml:space="preserve"> </w:t>
      </w:r>
      <w:r>
        <w:t xml:space="preserve">and the </w:t>
      </w:r>
      <w:r w:rsidR="00AF1EC1" w:rsidRPr="006E5480">
        <w:rPr>
          <w:i/>
        </w:rPr>
        <w:t>Financial Management Act 1994</w:t>
      </w:r>
      <w:r w:rsidR="00AF1EC1">
        <w:t xml:space="preserve"> (</w:t>
      </w:r>
      <w:r>
        <w:t>FMA</w:t>
      </w:r>
      <w:r w:rsidR="00AF1EC1">
        <w:t>)</w:t>
      </w:r>
      <w:r>
        <w:t xml:space="preserve"> provide clear rules for how money is managed and accounted for.</w:t>
      </w:r>
      <w:r w:rsidR="00AC4D3A" w:rsidRPr="00AC4D3A">
        <w:rPr>
          <w:noProof/>
        </w:rPr>
        <w:t xml:space="preserve"> </w:t>
      </w:r>
    </w:p>
    <w:p w14:paraId="13EAECB0" w14:textId="77777777" w:rsidR="00341BFF" w:rsidRDefault="00341BFF" w:rsidP="00E60162">
      <w:pPr>
        <w:jc w:val="center"/>
      </w:pPr>
      <w:r>
        <w:rPr>
          <w:noProof/>
        </w:rPr>
        <w:drawing>
          <wp:inline distT="0" distB="0" distL="0" distR="0" wp14:anchorId="1760730F" wp14:editId="6A2ABEF1">
            <wp:extent cx="4564048" cy="3956633"/>
            <wp:effectExtent l="0" t="0" r="825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64562" cy="3957078"/>
                    </a:xfrm>
                    <a:prstGeom prst="rect">
                      <a:avLst/>
                    </a:prstGeom>
                    <a:noFill/>
                  </pic:spPr>
                </pic:pic>
              </a:graphicData>
            </a:graphic>
          </wp:inline>
        </w:drawing>
      </w:r>
    </w:p>
    <w:p w14:paraId="3686C9DF" w14:textId="77777777" w:rsidR="003A736F" w:rsidRPr="007E1D39" w:rsidRDefault="006B11CE" w:rsidP="003D272A">
      <w:r>
        <w:t>I</w:t>
      </w:r>
      <w:r w:rsidR="003A736F" w:rsidRPr="007E1D39">
        <w:t>n legislation, and supporting the State’s financial management framework, are the concepts of:</w:t>
      </w:r>
    </w:p>
    <w:p w14:paraId="6BFB30BF" w14:textId="77777777" w:rsidR="003A736F" w:rsidRDefault="003A736F" w:rsidP="003D272A">
      <w:pPr>
        <w:pStyle w:val="Bullet1"/>
      </w:pPr>
      <w:r>
        <w:t>the Public Account;</w:t>
      </w:r>
    </w:p>
    <w:p w14:paraId="1E8A0D32" w14:textId="77777777" w:rsidR="003A736F" w:rsidRDefault="003A736F" w:rsidP="003D272A">
      <w:pPr>
        <w:pStyle w:val="Bullet1"/>
      </w:pPr>
      <w:r>
        <w:t xml:space="preserve">Consolidated Fund (including warrants); and </w:t>
      </w:r>
    </w:p>
    <w:p w14:paraId="3128E9BE" w14:textId="77777777" w:rsidR="003A736F" w:rsidRDefault="003A736F" w:rsidP="003D272A">
      <w:pPr>
        <w:pStyle w:val="Bullet1"/>
      </w:pPr>
      <w:r>
        <w:t>the Trust Fund.</w:t>
      </w:r>
    </w:p>
    <w:p w14:paraId="099BE8CE" w14:textId="77777777" w:rsidR="003A736F" w:rsidRPr="007E1D39" w:rsidRDefault="003A736F" w:rsidP="003D272A">
      <w:r w:rsidRPr="007E1D39">
        <w:t>These concepts are explained below.</w:t>
      </w:r>
    </w:p>
    <w:p w14:paraId="3D3EE4F4" w14:textId="77777777" w:rsidR="003A736F" w:rsidRDefault="003A736F" w:rsidP="003D272A">
      <w:pPr>
        <w:pStyle w:val="Heading3"/>
      </w:pPr>
      <w:r>
        <w:lastRenderedPageBreak/>
        <w:t>The Public Account</w:t>
      </w:r>
    </w:p>
    <w:p w14:paraId="30E22E5F" w14:textId="77777777" w:rsidR="00341BFF" w:rsidRDefault="003A736F" w:rsidP="003D272A">
      <w:r>
        <w:t>The Public Account is the Government’s official bank account. The Public Account holds the cash balances of the Consolidated Fund and the Trust Fund. The State’s financial transactions are primarily conducted through the Public Account.</w:t>
      </w:r>
      <w:r w:rsidR="003F2219">
        <w:rPr>
          <w:rStyle w:val="FootnoteReference"/>
        </w:rPr>
        <w:footnoteReference w:id="7"/>
      </w:r>
      <w:r>
        <w:t xml:space="preserve"> </w:t>
      </w:r>
    </w:p>
    <w:p w14:paraId="7019C228" w14:textId="452EF29F" w:rsidR="003A736F" w:rsidRDefault="00BE5770" w:rsidP="003D272A">
      <w:r w:rsidRPr="00BE5770">
        <w:rPr>
          <w:b/>
        </w:rPr>
        <w:t>Accounting arrangements</w:t>
      </w:r>
      <w:r>
        <w:t xml:space="preserve"> –</w:t>
      </w:r>
      <w:r w:rsidR="002E7BCD">
        <w:t xml:space="preserve"> </w:t>
      </w:r>
      <w:r w:rsidR="002256BD">
        <w:t xml:space="preserve">comprise a centrally managed account </w:t>
      </w:r>
      <w:r>
        <w:t>which is</w:t>
      </w:r>
      <w:r w:rsidR="005B62E4">
        <w:t xml:space="preserve"> </w:t>
      </w:r>
      <w:r w:rsidR="003A736F" w:rsidRPr="00FF392E">
        <w:t>linked to Departmental bank accounts (generally via the</w:t>
      </w:r>
      <w:r w:rsidR="003A736F">
        <w:t xml:space="preserve"> </w:t>
      </w:r>
      <w:r w:rsidR="003A736F" w:rsidRPr="00447980">
        <w:t>mechanism known as the State A</w:t>
      </w:r>
      <w:r w:rsidR="00B9490D">
        <w:t xml:space="preserve">dministration Unit (SAU) – </w:t>
      </w:r>
      <w:r w:rsidR="000E3C08">
        <w:t>refer to</w:t>
      </w:r>
      <w:r w:rsidR="00B9490D">
        <w:t xml:space="preserve"> </w:t>
      </w:r>
      <w:r w:rsidR="000E3C08">
        <w:t>S</w:t>
      </w:r>
      <w:r w:rsidR="003A736F" w:rsidRPr="00447980">
        <w:t xml:space="preserve">ection </w:t>
      </w:r>
      <w:r w:rsidR="00F03E57">
        <w:t>5</w:t>
      </w:r>
      <w:r w:rsidR="003713DE" w:rsidRPr="00447980">
        <w:t>.1</w:t>
      </w:r>
      <w:r w:rsidR="003A736F" w:rsidRPr="00447980">
        <w:t xml:space="preserve"> for more</w:t>
      </w:r>
      <w:r w:rsidR="003A736F">
        <w:t xml:space="preserve"> </w:t>
      </w:r>
      <w:r w:rsidR="003A736F" w:rsidRPr="00447980">
        <w:t>information).</w:t>
      </w:r>
    </w:p>
    <w:p w14:paraId="273A7BF5" w14:textId="351E9F3F" w:rsidR="00915F84" w:rsidRDefault="00BE5770" w:rsidP="003D272A">
      <w:r w:rsidRPr="00BE5770">
        <w:rPr>
          <w:b/>
        </w:rPr>
        <w:t>B</w:t>
      </w:r>
      <w:r w:rsidR="002256BD" w:rsidRPr="00BE5770">
        <w:rPr>
          <w:b/>
        </w:rPr>
        <w:t>anking arrangements</w:t>
      </w:r>
      <w:r w:rsidR="002256BD">
        <w:t xml:space="preserve"> </w:t>
      </w:r>
      <w:r>
        <w:t>–</w:t>
      </w:r>
      <w:r w:rsidR="002E7BCD">
        <w:t xml:space="preserve"> </w:t>
      </w:r>
      <w:r w:rsidR="002256BD">
        <w:t xml:space="preserve">are </w:t>
      </w:r>
      <w:r w:rsidR="00915F84" w:rsidRPr="00915F84">
        <w:t>determined by the State’s</w:t>
      </w:r>
      <w:r w:rsidR="00231A72">
        <w:t xml:space="preserve"> </w:t>
      </w:r>
      <w:r w:rsidR="00CF0AF5">
        <w:t>c</w:t>
      </w:r>
      <w:r w:rsidR="00231A72">
        <w:t xml:space="preserve">ash and </w:t>
      </w:r>
      <w:r w:rsidR="00CF0AF5">
        <w:t>b</w:t>
      </w:r>
      <w:r w:rsidR="00231A72">
        <w:t>anking arrangements</w:t>
      </w:r>
      <w:r w:rsidR="00915F84" w:rsidRPr="00915F84">
        <w:t xml:space="preserve">, and </w:t>
      </w:r>
      <w:r w:rsidR="00341BFF">
        <w:t xml:space="preserve">is </w:t>
      </w:r>
      <w:r w:rsidR="000E3C08">
        <w:t xml:space="preserve">the </w:t>
      </w:r>
      <w:r w:rsidR="00915F84" w:rsidRPr="00915F84">
        <w:t>net of its inv</w:t>
      </w:r>
      <w:r w:rsidR="004C0164">
        <w:t>estments and borrowings held by</w:t>
      </w:r>
      <w:r w:rsidR="00915F84" w:rsidRPr="00915F84">
        <w:t xml:space="preserve"> the Treasury Corporation </w:t>
      </w:r>
      <w:r w:rsidR="004C0164">
        <w:t xml:space="preserve">Victoria </w:t>
      </w:r>
      <w:r w:rsidR="00915F84" w:rsidRPr="00915F84">
        <w:t>and the Victorian Funds Management Corporation.</w:t>
      </w:r>
    </w:p>
    <w:p w14:paraId="09B23090" w14:textId="77777777" w:rsidR="003A736F" w:rsidRDefault="003A736F" w:rsidP="000B672C">
      <w:pPr>
        <w:keepNext/>
      </w:pPr>
      <w:r>
        <w:t>The</w:t>
      </w:r>
      <w:r w:rsidR="002256BD">
        <w:t>se</w:t>
      </w:r>
      <w:r>
        <w:t xml:space="preserve"> </w:t>
      </w:r>
      <w:r w:rsidR="002256BD">
        <w:t xml:space="preserve">representations of the </w:t>
      </w:r>
      <w:r>
        <w:t xml:space="preserve">Public Account </w:t>
      </w:r>
      <w:r w:rsidR="002256BD">
        <w:t>are</w:t>
      </w:r>
      <w:r>
        <w:t xml:space="preserve"> illustrated below:</w:t>
      </w:r>
    </w:p>
    <w:p w14:paraId="13FDAD87" w14:textId="77777777" w:rsidR="003A736F" w:rsidRDefault="003A736F" w:rsidP="003A736F">
      <w:pPr>
        <w:pStyle w:val="NormalIndent"/>
      </w:pPr>
      <w:r w:rsidRPr="00D00949">
        <w:rPr>
          <w:noProof/>
        </w:rPr>
        <mc:AlternateContent>
          <mc:Choice Requires="wpg">
            <w:drawing>
              <wp:inline distT="0" distB="0" distL="0" distR="0" wp14:anchorId="04EC221C" wp14:editId="71E537A1">
                <wp:extent cx="5033026" cy="3164619"/>
                <wp:effectExtent l="0" t="0" r="0" b="17145"/>
                <wp:docPr id="3" name="Group 39"/>
                <wp:cNvGraphicFramePr/>
                <a:graphic xmlns:a="http://schemas.openxmlformats.org/drawingml/2006/main">
                  <a:graphicData uri="http://schemas.microsoft.com/office/word/2010/wordprocessingGroup">
                    <wpg:wgp>
                      <wpg:cNvGrpSpPr/>
                      <wpg:grpSpPr>
                        <a:xfrm>
                          <a:off x="0" y="0"/>
                          <a:ext cx="5033026" cy="3164619"/>
                          <a:chOff x="0" y="0"/>
                          <a:chExt cx="5398515" cy="3578615"/>
                        </a:xfrm>
                      </wpg:grpSpPr>
                      <wps:wsp>
                        <wps:cNvPr id="4" name="Rectangle 4"/>
                        <wps:cNvSpPr/>
                        <wps:spPr>
                          <a:xfrm>
                            <a:off x="1664237" y="2917822"/>
                            <a:ext cx="1637653" cy="660793"/>
                          </a:xfrm>
                          <a:prstGeom prst="rect">
                            <a:avLst/>
                          </a:prstGeom>
                          <a:solidFill>
                            <a:srgbClr val="0063A6"/>
                          </a:solidFill>
                          <a:ln w="25400" cap="flat" cmpd="sng" algn="ctr">
                            <a:solidFill>
                              <a:srgbClr val="0063A6"/>
                            </a:solidFill>
                            <a:prstDash val="solid"/>
                          </a:ln>
                          <a:effectLst/>
                        </wps:spPr>
                        <wps:txbx>
                          <w:txbxContent>
                            <w:p w14:paraId="66EA6398" w14:textId="77777777" w:rsidR="002536F9" w:rsidRDefault="002536F9" w:rsidP="003A736F">
                              <w:pPr>
                                <w:pStyle w:val="NormalWeb"/>
                                <w:spacing w:before="0" w:beforeAutospacing="0" w:after="0" w:afterAutospacing="0"/>
                                <w:jc w:val="center"/>
                              </w:pPr>
                              <w:r>
                                <w:rPr>
                                  <w:rFonts w:ascii="Arial" w:hAnsi="Arial" w:cs="Arial"/>
                                  <w:b/>
                                  <w:bCs/>
                                  <w:color w:val="FFFFFF" w:themeColor="background1"/>
                                  <w:kern w:val="24"/>
                                  <w:sz w:val="20"/>
                                  <w:szCs w:val="20"/>
                                </w:rPr>
                                <w:t>Public Account</w:t>
                              </w:r>
                              <w:r>
                                <w:rPr>
                                  <w:rFonts w:ascii="Arial" w:hAnsi="Arial" w:cs="Arial"/>
                                  <w:b/>
                                  <w:bCs/>
                                  <w:color w:val="FFFFFF" w:themeColor="background1"/>
                                  <w:kern w:val="24"/>
                                  <w:sz w:val="20"/>
                                  <w:szCs w:val="20"/>
                                </w:rPr>
                                <w:br/>
                                <w:t>Bank Account</w:t>
                              </w:r>
                              <w:r>
                                <w:rPr>
                                  <w:rFonts w:ascii="Arial" w:hAnsi="Arial" w:cs="Arial"/>
                                  <w:b/>
                                  <w:bCs/>
                                  <w:color w:val="FFFFFF" w:themeColor="background1"/>
                                  <w:kern w:val="24"/>
                                  <w:sz w:val="20"/>
                                  <w:szCs w:val="20"/>
                                </w:rPr>
                                <w:br/>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677854" y="1969967"/>
                            <a:ext cx="1043518" cy="665461"/>
                          </a:xfrm>
                          <a:prstGeom prst="rect">
                            <a:avLst/>
                          </a:prstGeom>
                          <a:solidFill>
                            <a:srgbClr val="0063A6"/>
                          </a:solidFill>
                          <a:ln w="25400" cap="flat" cmpd="sng" algn="ctr">
                            <a:solidFill>
                              <a:srgbClr val="0063A6"/>
                            </a:solidFill>
                            <a:prstDash val="solid"/>
                          </a:ln>
                          <a:effectLst/>
                        </wps:spPr>
                        <wps:txbx>
                          <w:txbxContent>
                            <w:p w14:paraId="7C8B897D" w14:textId="77777777" w:rsidR="002536F9" w:rsidRDefault="002536F9" w:rsidP="003A736F">
                              <w:pPr>
                                <w:pStyle w:val="NormalWeb"/>
                                <w:spacing w:before="0" w:beforeAutospacing="0" w:after="0" w:afterAutospacing="0"/>
                                <w:jc w:val="center"/>
                              </w:pPr>
                              <w:r w:rsidRPr="007E1D39">
                                <w:rPr>
                                  <w:rFonts w:ascii="Arial" w:hAnsi="Arial" w:cs="Arial"/>
                                  <w:b/>
                                  <w:bCs/>
                                  <w:color w:val="FFFFFF" w:themeColor="background1"/>
                                  <w:kern w:val="24"/>
                                  <w:sz w:val="18"/>
                                  <w:szCs w:val="18"/>
                                </w:rPr>
                                <w:t>Investments</w:t>
                              </w:r>
                              <w:r w:rsidRPr="007E1D39">
                                <w:rPr>
                                  <w:rFonts w:ascii="Arial" w:hAnsi="Arial" w:cs="Arial"/>
                                  <w:b/>
                                  <w:bCs/>
                                  <w:color w:val="FFFFFF" w:themeColor="background1"/>
                                  <w:kern w:val="24"/>
                                  <w:sz w:val="18"/>
                                  <w:szCs w:val="18"/>
                                </w:rPr>
                                <w:br/>
                                <w:t>(TCV and</w:t>
                              </w:r>
                              <w:r>
                                <w:rPr>
                                  <w:rFonts w:ascii="Arial" w:hAnsi="Arial" w:cs="Arial"/>
                                  <w:b/>
                                  <w:bCs/>
                                  <w:color w:val="FFFFFF" w:themeColor="background1"/>
                                  <w:kern w:val="24"/>
                                  <w:sz w:val="20"/>
                                  <w:szCs w:val="20"/>
                                </w:rPr>
                                <w:t xml:space="preserve"> </w:t>
                              </w:r>
                              <w:r w:rsidRPr="00CF0AF5">
                                <w:rPr>
                                  <w:rFonts w:ascii="Arial" w:hAnsi="Arial" w:cs="Arial"/>
                                  <w:b/>
                                  <w:bCs/>
                                  <w:color w:val="FFFFFF" w:themeColor="background1"/>
                                  <w:kern w:val="24"/>
                                  <w:sz w:val="18"/>
                                  <w:szCs w:val="20"/>
                                </w:rPr>
                                <w:t>VFMC)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84689" y="1969606"/>
                            <a:ext cx="985275" cy="665325"/>
                          </a:xfrm>
                          <a:prstGeom prst="rect">
                            <a:avLst/>
                          </a:prstGeom>
                          <a:solidFill>
                            <a:srgbClr val="0063A6"/>
                          </a:solidFill>
                          <a:ln w="25400" cap="flat" cmpd="sng" algn="ctr">
                            <a:solidFill>
                              <a:srgbClr val="0063A6"/>
                            </a:solidFill>
                            <a:prstDash val="solid"/>
                          </a:ln>
                          <a:effectLst/>
                        </wps:spPr>
                        <wps:txbx>
                          <w:txbxContent>
                            <w:p w14:paraId="30EA0FBB" w14:textId="77777777" w:rsidR="002536F9" w:rsidRPr="007E1D39" w:rsidRDefault="002536F9" w:rsidP="003A736F">
                              <w:pPr>
                                <w:pStyle w:val="NormalWeb"/>
                                <w:spacing w:before="0" w:beforeAutospacing="0" w:after="0" w:afterAutospacing="0"/>
                                <w:jc w:val="center"/>
                                <w:rPr>
                                  <w:sz w:val="18"/>
                                  <w:szCs w:val="18"/>
                                </w:rPr>
                              </w:pPr>
                              <w:r w:rsidRPr="007E1D39">
                                <w:rPr>
                                  <w:rFonts w:ascii="Arial" w:hAnsi="Arial" w:cs="Arial"/>
                                  <w:b/>
                                  <w:bCs/>
                                  <w:color w:val="FFFFFF" w:themeColor="background1"/>
                                  <w:kern w:val="24"/>
                                  <w:sz w:val="18"/>
                                  <w:szCs w:val="18"/>
                                </w:rPr>
                                <w:t xml:space="preserve">Borrowings </w:t>
                              </w:r>
                              <w:r w:rsidRPr="007E1D39">
                                <w:rPr>
                                  <w:rFonts w:ascii="Arial" w:hAnsi="Arial" w:cs="Arial"/>
                                  <w:b/>
                                  <w:bCs/>
                                  <w:color w:val="FFFFFF" w:themeColor="background1"/>
                                  <w:kern w:val="24"/>
                                  <w:sz w:val="18"/>
                                  <w:szCs w:val="18"/>
                                </w:rPr>
                                <w:br/>
                                <w:t>(TCV)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03" name="Oval 19503"/>
                        <wps:cNvSpPr/>
                        <wps:spPr>
                          <a:xfrm>
                            <a:off x="1002369" y="476149"/>
                            <a:ext cx="2977360" cy="1429051"/>
                          </a:xfrm>
                          <a:prstGeom prst="ellipse">
                            <a:avLst/>
                          </a:prstGeom>
                          <a:solidFill>
                            <a:srgbClr val="0063A6"/>
                          </a:solidFill>
                          <a:ln w="25400" cap="flat" cmpd="sng" algn="ctr">
                            <a:solidFill>
                              <a:srgbClr val="0063A6"/>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504" name="Rectangle 19504"/>
                        <wps:cNvSpPr>
                          <a:spLocks noChangeArrowheads="1"/>
                        </wps:cNvSpPr>
                        <wps:spPr bwMode="auto">
                          <a:xfrm>
                            <a:off x="677331" y="0"/>
                            <a:ext cx="3736091" cy="33407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DF3BEC0" w14:textId="77777777" w:rsidR="002536F9" w:rsidRDefault="002536F9" w:rsidP="003A736F">
                              <w:pPr>
                                <w:pStyle w:val="NormalWeb"/>
                                <w:spacing w:before="0" w:beforeAutospacing="0" w:after="0" w:afterAutospacing="0"/>
                                <w:jc w:val="center"/>
                                <w:textAlignment w:val="baseline"/>
                              </w:pPr>
                              <w:r>
                                <w:rPr>
                                  <w:rFonts w:ascii="Arial" w:hAnsi="Arial" w:cs="Arial"/>
                                  <w:b/>
                                  <w:bCs/>
                                  <w:color w:val="005293"/>
                                  <w:kern w:val="24"/>
                                </w:rPr>
                                <w:t>Public Account – Public Ledger</w:t>
                              </w:r>
                            </w:p>
                          </w:txbxContent>
                        </wps:txbx>
                        <wps:bodyPr lIns="90488" tIns="44450" rIns="90488" bIns="44450" anchor="ctr"/>
                      </wps:wsp>
                      <wps:wsp>
                        <wps:cNvPr id="19505" name="Text Box 4"/>
                        <wps:cNvSpPr txBox="1">
                          <a:spLocks noChangeArrowheads="1"/>
                        </wps:cNvSpPr>
                        <wps:spPr bwMode="auto">
                          <a:xfrm>
                            <a:off x="1172733" y="1076064"/>
                            <a:ext cx="1127028" cy="48283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1C17553" w14:textId="77777777" w:rsidR="002536F9" w:rsidRPr="006926C1" w:rsidRDefault="002536F9" w:rsidP="003A736F">
                              <w:pPr>
                                <w:pStyle w:val="NormalWeb"/>
                                <w:spacing w:before="0" w:beforeAutospacing="0" w:after="0" w:afterAutospacing="0"/>
                                <w:jc w:val="center"/>
                                <w:textAlignment w:val="baseline"/>
                                <w:rPr>
                                  <w:rFonts w:ascii="Arial" w:hAnsi="Arial" w:cs="Arial"/>
                                  <w:color w:val="FFFFFF" w:themeColor="background1"/>
                                </w:rPr>
                              </w:pPr>
                              <w:r>
                                <w:rPr>
                                  <w:rFonts w:ascii="Arial" w:hAnsi="Arial" w:cs="Arial"/>
                                  <w:b/>
                                  <w:bCs/>
                                  <w:color w:val="FFFFFF" w:themeColor="background1"/>
                                  <w:kern w:val="24"/>
                                  <w:sz w:val="20"/>
                                  <w:szCs w:val="20"/>
                                </w:rPr>
                                <w:t xml:space="preserve">Consolidated </w:t>
                              </w:r>
                              <w:r>
                                <w:rPr>
                                  <w:rFonts w:ascii="Arial" w:hAnsi="Arial" w:cs="Arial"/>
                                  <w:b/>
                                  <w:bCs/>
                                  <w:color w:val="FFFFFF" w:themeColor="background1"/>
                                  <w:kern w:val="24"/>
                                  <w:sz w:val="20"/>
                                  <w:szCs w:val="20"/>
                                </w:rPr>
                                <w:br/>
                              </w:r>
                              <w:r w:rsidRPr="006926C1">
                                <w:rPr>
                                  <w:rFonts w:ascii="Arial" w:hAnsi="Arial" w:cs="Arial"/>
                                  <w:b/>
                                  <w:bCs/>
                                  <w:color w:val="FFFFFF" w:themeColor="background1"/>
                                  <w:kern w:val="24"/>
                                  <w:sz w:val="20"/>
                                  <w:szCs w:val="20"/>
                                </w:rPr>
                                <w:t xml:space="preserve">Fund </w:t>
                              </w:r>
                            </w:p>
                          </w:txbxContent>
                        </wps:txbx>
                        <wps:bodyPr wrap="square">
                          <a:noAutofit/>
                        </wps:bodyPr>
                      </wps:wsp>
                      <wps:wsp>
                        <wps:cNvPr id="19506" name="Text Box 5"/>
                        <wps:cNvSpPr txBox="1">
                          <a:spLocks noChangeArrowheads="1"/>
                        </wps:cNvSpPr>
                        <wps:spPr bwMode="auto">
                          <a:xfrm>
                            <a:off x="2799147" y="1076261"/>
                            <a:ext cx="636906" cy="48235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03409D6" w14:textId="77777777" w:rsidR="002536F9" w:rsidRPr="006926C1" w:rsidRDefault="002536F9" w:rsidP="003A736F">
                              <w:pPr>
                                <w:pStyle w:val="NormalWeb"/>
                                <w:spacing w:before="0" w:beforeAutospacing="0" w:after="0" w:afterAutospacing="0"/>
                                <w:jc w:val="center"/>
                                <w:textAlignment w:val="baseline"/>
                                <w:rPr>
                                  <w:color w:val="FFFFFF" w:themeColor="background1"/>
                                </w:rPr>
                              </w:pPr>
                              <w:r w:rsidRPr="006926C1">
                                <w:rPr>
                                  <w:rFonts w:ascii="Arial" w:hAnsi="Arial" w:cs="Arial"/>
                                  <w:b/>
                                  <w:bCs/>
                                  <w:color w:val="FFFFFF" w:themeColor="background1"/>
                                  <w:kern w:val="24"/>
                                  <w:sz w:val="20"/>
                                  <w:szCs w:val="20"/>
                                </w:rPr>
                                <w:t xml:space="preserve">Trust </w:t>
                              </w:r>
                              <w:r w:rsidRPr="006926C1">
                                <w:rPr>
                                  <w:rFonts w:ascii="Arial" w:hAnsi="Arial" w:cs="Arial"/>
                                  <w:b/>
                                  <w:bCs/>
                                  <w:color w:val="FFFFFF" w:themeColor="background1"/>
                                  <w:kern w:val="24"/>
                                  <w:sz w:val="20"/>
                                  <w:szCs w:val="20"/>
                                </w:rPr>
                                <w:br/>
                                <w:t>Fund</w:t>
                              </w:r>
                            </w:p>
                          </w:txbxContent>
                        </wps:txbx>
                        <wps:bodyPr wrap="square">
                          <a:noAutofit/>
                        </wps:bodyPr>
                      </wps:wsp>
                      <wps:wsp>
                        <wps:cNvPr id="19507" name="Line 6"/>
                        <wps:cNvCnPr/>
                        <wps:spPr bwMode="auto">
                          <a:xfrm flipH="1">
                            <a:off x="2490468" y="757095"/>
                            <a:ext cx="0" cy="1083560"/>
                          </a:xfrm>
                          <a:prstGeom prst="line">
                            <a:avLst/>
                          </a:prstGeom>
                          <a:noFill/>
                          <a:ln w="19050">
                            <a:solidFill>
                              <a:sysClr val="window" lastClr="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9508" name="Text Box 16"/>
                        <wps:cNvSpPr txBox="1">
                          <a:spLocks noChangeArrowheads="1"/>
                        </wps:cNvSpPr>
                        <wps:spPr bwMode="auto">
                          <a:xfrm>
                            <a:off x="3765690" y="2917440"/>
                            <a:ext cx="1402587" cy="58036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7FD726" w14:textId="77777777" w:rsidR="002536F9" w:rsidRDefault="002536F9" w:rsidP="003A736F">
                              <w:pPr>
                                <w:pStyle w:val="NormalWeb"/>
                                <w:spacing w:before="0" w:beforeAutospacing="0" w:after="0" w:afterAutospacing="0"/>
                                <w:textAlignment w:val="baseline"/>
                              </w:pPr>
                              <w:r>
                                <w:rPr>
                                  <w:rFonts w:ascii="Arial" w:hAnsi="Arial" w:cs="Arial"/>
                                  <w:b/>
                                  <w:bCs/>
                                  <w:color w:val="000000"/>
                                  <w:kern w:val="24"/>
                                </w:rPr>
                                <w:t>Banking arrangements</w:t>
                              </w:r>
                            </w:p>
                          </w:txbxContent>
                        </wps:txbx>
                        <wps:bodyPr wrap="square">
                          <a:noAutofit/>
                        </wps:bodyPr>
                      </wps:wsp>
                      <wps:wsp>
                        <wps:cNvPr id="19509" name="Line 17"/>
                        <wps:cNvCnPr/>
                        <wps:spPr bwMode="auto">
                          <a:xfrm>
                            <a:off x="0" y="1894617"/>
                            <a:ext cx="4862292" cy="0"/>
                          </a:xfrm>
                          <a:prstGeom prst="line">
                            <a:avLst/>
                          </a:prstGeom>
                          <a:noFill/>
                          <a:ln w="38100">
                            <a:solidFill>
                              <a:srgbClr val="8A2A2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9510" name="Text Box 18"/>
                        <wps:cNvSpPr txBox="1">
                          <a:spLocks noChangeArrowheads="1"/>
                        </wps:cNvSpPr>
                        <wps:spPr bwMode="auto">
                          <a:xfrm>
                            <a:off x="1746141" y="476149"/>
                            <a:ext cx="1555751" cy="4258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5A9D691" w14:textId="77777777" w:rsidR="002536F9" w:rsidRPr="006926C1" w:rsidRDefault="002536F9" w:rsidP="003A736F">
                              <w:pPr>
                                <w:pStyle w:val="NormalWeb"/>
                                <w:spacing w:before="120" w:beforeAutospacing="0" w:after="0" w:afterAutospacing="0"/>
                                <w:jc w:val="center"/>
                                <w:textAlignment w:val="baseline"/>
                                <w:rPr>
                                  <w:color w:val="FFFFFF" w:themeColor="background1"/>
                                </w:rPr>
                              </w:pPr>
                              <w:r w:rsidRPr="006926C1">
                                <w:rPr>
                                  <w:rFonts w:ascii="Arial" w:hAnsi="Arial" w:cs="Arial"/>
                                  <w:b/>
                                  <w:bCs/>
                                  <w:color w:val="FFFFFF" w:themeColor="background1"/>
                                  <w:kern w:val="24"/>
                                  <w:sz w:val="20"/>
                                  <w:szCs w:val="20"/>
                                </w:rPr>
                                <w:t>Public Ledger</w:t>
                              </w:r>
                            </w:p>
                          </w:txbxContent>
                        </wps:txbx>
                        <wps:bodyPr wrap="square">
                          <a:noAutofit/>
                        </wps:bodyPr>
                      </wps:wsp>
                      <wps:wsp>
                        <wps:cNvPr id="19511" name="Text Box 16"/>
                        <wps:cNvSpPr txBox="1">
                          <a:spLocks noChangeArrowheads="1"/>
                        </wps:cNvSpPr>
                        <wps:spPr bwMode="auto">
                          <a:xfrm>
                            <a:off x="3765757" y="1429647"/>
                            <a:ext cx="1632758" cy="35598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74A4BC5" w14:textId="77777777" w:rsidR="002536F9" w:rsidRDefault="002536F9" w:rsidP="003A736F">
                              <w:pPr>
                                <w:pStyle w:val="NormalWeb"/>
                                <w:spacing w:before="0" w:beforeAutospacing="0" w:after="0" w:afterAutospacing="0"/>
                                <w:textAlignment w:val="baseline"/>
                              </w:pPr>
                              <w:r>
                                <w:rPr>
                                  <w:rFonts w:ascii="Arial" w:hAnsi="Arial" w:cs="Arial"/>
                                  <w:b/>
                                  <w:bCs/>
                                  <w:color w:val="000000"/>
                                  <w:kern w:val="24"/>
                                </w:rPr>
                                <w:t>Accounting</w:t>
                              </w:r>
                            </w:p>
                          </w:txbxContent>
                        </wps:txbx>
                        <wps:bodyPr wrap="square">
                          <a:noAutofit/>
                        </wps:bodyPr>
                      </wps:wsp>
                      <wps:wsp>
                        <wps:cNvPr id="19512" name="Straight Connector 19512"/>
                        <wps:cNvCnPr>
                          <a:stCxn id="19505" idx="3"/>
                        </wps:cNvCnPr>
                        <wps:spPr>
                          <a:xfrm flipV="1">
                            <a:off x="2299762" y="1317242"/>
                            <a:ext cx="396740" cy="241"/>
                          </a:xfrm>
                          <a:prstGeom prst="line">
                            <a:avLst/>
                          </a:prstGeom>
                          <a:noFill/>
                          <a:ln w="9525" cap="flat" cmpd="sng" algn="ctr">
                            <a:solidFill>
                              <a:sysClr val="window" lastClr="FFFFFF"/>
                            </a:solidFill>
                            <a:prstDash val="solid"/>
                            <a:headEnd type="stealth"/>
                            <a:tailEnd type="stealth"/>
                          </a:ln>
                          <a:effectLst/>
                        </wps:spPr>
                        <wps:bodyPr/>
                      </wps:wsp>
                      <wps:wsp>
                        <wps:cNvPr id="19513" name="Straight Connector 19513"/>
                        <wps:cNvCnPr/>
                        <wps:spPr>
                          <a:xfrm>
                            <a:off x="677331" y="2618269"/>
                            <a:ext cx="986907" cy="686760"/>
                          </a:xfrm>
                          <a:prstGeom prst="line">
                            <a:avLst/>
                          </a:prstGeom>
                          <a:noFill/>
                          <a:ln w="9525" cap="flat" cmpd="sng" algn="ctr">
                            <a:solidFill>
                              <a:sysClr val="windowText" lastClr="000000"/>
                            </a:solidFill>
                            <a:prstDash val="solid"/>
                            <a:headEnd type="stealth"/>
                            <a:tailEnd type="stealth"/>
                          </a:ln>
                          <a:effectLst/>
                        </wps:spPr>
                        <wps:bodyPr/>
                      </wps:wsp>
                      <wps:wsp>
                        <wps:cNvPr id="19514" name="Straight Connector 19514"/>
                        <wps:cNvCnPr>
                          <a:stCxn id="19503" idx="3"/>
                        </wps:cNvCnPr>
                        <wps:spPr>
                          <a:xfrm>
                            <a:off x="1438393" y="1695921"/>
                            <a:ext cx="861394" cy="1213118"/>
                          </a:xfrm>
                          <a:prstGeom prst="line">
                            <a:avLst/>
                          </a:prstGeom>
                          <a:noFill/>
                          <a:ln w="9525" cap="flat" cmpd="sng" algn="ctr">
                            <a:solidFill>
                              <a:sysClr val="windowText" lastClr="000000"/>
                            </a:solidFill>
                            <a:prstDash val="solid"/>
                            <a:headEnd type="stealth"/>
                            <a:tailEnd type="stealth"/>
                          </a:ln>
                          <a:effectLst/>
                        </wps:spPr>
                        <wps:bodyPr/>
                      </wps:wsp>
                      <wps:wsp>
                        <wps:cNvPr id="19515" name="Straight Connector 19515"/>
                        <wps:cNvCnPr>
                          <a:stCxn id="19503" idx="5"/>
                        </wps:cNvCnPr>
                        <wps:spPr>
                          <a:xfrm flipH="1">
                            <a:off x="2696445" y="1695921"/>
                            <a:ext cx="847259" cy="1212586"/>
                          </a:xfrm>
                          <a:prstGeom prst="line">
                            <a:avLst/>
                          </a:prstGeom>
                          <a:noFill/>
                          <a:ln w="9525" cap="flat" cmpd="sng" algn="ctr">
                            <a:solidFill>
                              <a:sysClr val="windowText" lastClr="000000"/>
                            </a:solidFill>
                            <a:prstDash val="solid"/>
                            <a:headEnd type="stealth"/>
                            <a:tailEnd type="stealth"/>
                          </a:ln>
                          <a:effectLst/>
                        </wps:spPr>
                        <wps:bodyPr/>
                      </wps:wsp>
                      <wps:wsp>
                        <wps:cNvPr id="19516" name="Straight Connector 19516"/>
                        <wps:cNvCnPr>
                          <a:stCxn id="6" idx="2"/>
                          <a:endCxn id="4" idx="3"/>
                        </wps:cNvCnPr>
                        <wps:spPr>
                          <a:xfrm flipH="1">
                            <a:off x="3301889" y="2635428"/>
                            <a:ext cx="897713" cy="612791"/>
                          </a:xfrm>
                          <a:prstGeom prst="line">
                            <a:avLst/>
                          </a:prstGeom>
                          <a:noFill/>
                          <a:ln w="9525" cap="flat" cmpd="sng" algn="ctr">
                            <a:solidFill>
                              <a:sysClr val="windowText" lastClr="000000"/>
                            </a:solidFill>
                            <a:prstDash val="solid"/>
                            <a:headEnd type="stealth"/>
                            <a:tailEnd type="stealth"/>
                          </a:ln>
                          <a:effectLst/>
                        </wps:spPr>
                        <wps:bodyPr/>
                      </wps:wsp>
                    </wpg:wgp>
                  </a:graphicData>
                </a:graphic>
              </wp:inline>
            </w:drawing>
          </mc:Choice>
          <mc:Fallback>
            <w:pict>
              <v:group id="Group 39" o:spid="_x0000_s1039" style="width:396.3pt;height:249.2pt;mso-position-horizontal-relative:char;mso-position-vertical-relative:line" coordsize="53985,3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">
                <v:rect id="Rectangle 4" o:spid="_x0000_s1040" style="position:absolute;left:16642;top:29178;width:16376;height:6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RQ8QA&#10;AADaAAAADwAAAGRycy9kb3ducmV2LnhtbESPQWvCQBSE74X+h+UVvJRmU5Ei0VVqURAEoRqK3h7Z&#10;12ww+zZkVxP/vSsIHoeZ+YaZzntbiwu1vnKs4DNJQRAXTldcKsj3q48xCB+QNdaOScGVPMxnry9T&#10;zLTr+Jcuu1CKCGGfoQITQpNJ6QtDFn3iGuLo/bvWYoiyLaVusYtwW8thmn5JixXHBYMN/RgqTruz&#10;VVBsFo3cdovjYTnMzd97SKvTMVdq8NZ/T0AE6sMz/GivtYIR3K/EG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0UPEAAAA2gAAAA8AAAAAAAAAAAAAAAAAmAIAAGRycy9k&#10;b3ducmV2LnhtbFBLBQYAAAAABAAEAPUAAACJAwAAAAA=&#10;" fillcolor="#0063a6" strokecolor="#0063a6" strokeweight="2pt">
                  <v:textbox>
                    <w:txbxContent>
                      <w:p w14:paraId="66EA6398" w14:textId="77777777" w:rsidR="002536F9" w:rsidRDefault="002536F9" w:rsidP="003A736F">
                        <w:pPr>
                          <w:pStyle w:val="NormalWeb"/>
                          <w:spacing w:before="0" w:beforeAutospacing="0" w:after="0" w:afterAutospacing="0"/>
                          <w:jc w:val="center"/>
                        </w:pPr>
                        <w:r>
                          <w:rPr>
                            <w:rFonts w:ascii="Arial" w:hAnsi="Arial" w:cs="Arial"/>
                            <w:b/>
                            <w:bCs/>
                            <w:color w:val="FFFFFF" w:themeColor="background1"/>
                            <w:kern w:val="24"/>
                            <w:sz w:val="20"/>
                            <w:szCs w:val="20"/>
                          </w:rPr>
                          <w:t>Public Account</w:t>
                        </w:r>
                        <w:r>
                          <w:rPr>
                            <w:rFonts w:ascii="Arial" w:hAnsi="Arial" w:cs="Arial"/>
                            <w:b/>
                            <w:bCs/>
                            <w:color w:val="FFFFFF" w:themeColor="background1"/>
                            <w:kern w:val="24"/>
                            <w:sz w:val="20"/>
                            <w:szCs w:val="20"/>
                          </w:rPr>
                          <w:br/>
                          <w:t>Bank Account</w:t>
                        </w:r>
                        <w:r>
                          <w:rPr>
                            <w:rFonts w:ascii="Arial" w:hAnsi="Arial" w:cs="Arial"/>
                            <w:b/>
                            <w:bCs/>
                            <w:color w:val="FFFFFF" w:themeColor="background1"/>
                            <w:kern w:val="24"/>
                            <w:sz w:val="20"/>
                            <w:szCs w:val="20"/>
                          </w:rPr>
                          <w:br/>
                        </w:r>
                      </w:p>
                    </w:txbxContent>
                  </v:textbox>
                </v:rect>
                <v:rect id="Rectangle 6" o:spid="_x0000_s1041" style="position:absolute;left:36778;top:19699;width:10435;height:6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Lqr8QA&#10;AADaAAAADwAAAGRycy9kb3ducmV2LnhtbESPQWvCQBSE74X+h+UVeil1Yw5BUlcxpUKhIKih1Nsj&#10;+8wGs29Ddpuk/74rCB6HmfmGWa4n24qBet84VjCfJSCIK6cbrhWUx+3rAoQPyBpbx6TgjzysV48P&#10;S8y1G3lPwyHUIkLY56jAhNDlUvrKkEU/cx1x9M6utxii7Gupexwj3LYyTZJMWmw4Lhjs6N1QdTn8&#10;WgXVV9HJ3Vicfj7S0ny/hKS5nEqlnp+mzRuIQFO4h2/tT60gg+uVe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6q/EAAAA2gAAAA8AAAAAAAAAAAAAAAAAmAIAAGRycy9k&#10;b3ducmV2LnhtbFBLBQYAAAAABAAEAPUAAACJAwAAAAA=&#10;" fillcolor="#0063a6" strokecolor="#0063a6" strokeweight="2pt">
                  <v:textbox>
                    <w:txbxContent>
                      <w:p w14:paraId="7C8B897D" w14:textId="77777777" w:rsidR="002536F9" w:rsidRDefault="002536F9" w:rsidP="003A736F">
                        <w:pPr>
                          <w:pStyle w:val="NormalWeb"/>
                          <w:spacing w:before="0" w:beforeAutospacing="0" w:after="0" w:afterAutospacing="0"/>
                          <w:jc w:val="center"/>
                        </w:pPr>
                        <w:r w:rsidRPr="007E1D39">
                          <w:rPr>
                            <w:rFonts w:ascii="Arial" w:hAnsi="Arial" w:cs="Arial"/>
                            <w:b/>
                            <w:bCs/>
                            <w:color w:val="FFFFFF" w:themeColor="background1"/>
                            <w:kern w:val="24"/>
                            <w:sz w:val="18"/>
                            <w:szCs w:val="18"/>
                          </w:rPr>
                          <w:t>Investments</w:t>
                        </w:r>
                        <w:r w:rsidRPr="007E1D39">
                          <w:rPr>
                            <w:rFonts w:ascii="Arial" w:hAnsi="Arial" w:cs="Arial"/>
                            <w:b/>
                            <w:bCs/>
                            <w:color w:val="FFFFFF" w:themeColor="background1"/>
                            <w:kern w:val="24"/>
                            <w:sz w:val="18"/>
                            <w:szCs w:val="18"/>
                          </w:rPr>
                          <w:br/>
                          <w:t>(TCV and</w:t>
                        </w:r>
                        <w:r>
                          <w:rPr>
                            <w:rFonts w:ascii="Arial" w:hAnsi="Arial" w:cs="Arial"/>
                            <w:b/>
                            <w:bCs/>
                            <w:color w:val="FFFFFF" w:themeColor="background1"/>
                            <w:kern w:val="24"/>
                            <w:sz w:val="20"/>
                            <w:szCs w:val="20"/>
                          </w:rPr>
                          <w:t xml:space="preserve"> </w:t>
                        </w:r>
                        <w:r w:rsidRPr="00CF0AF5">
                          <w:rPr>
                            <w:rFonts w:ascii="Arial" w:hAnsi="Arial" w:cs="Arial"/>
                            <w:b/>
                            <w:bCs/>
                            <w:color w:val="FFFFFF" w:themeColor="background1"/>
                            <w:kern w:val="24"/>
                            <w:sz w:val="18"/>
                            <w:szCs w:val="20"/>
                          </w:rPr>
                          <w:t>VFMC)</w:t>
                        </w:r>
                      </w:p>
                    </w:txbxContent>
                  </v:textbox>
                </v:rect>
                <v:rect id="Rectangle 7" o:spid="_x0000_s1042" style="position:absolute;left:1846;top:19696;width:9853;height:66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PNMQA&#10;AADaAAAADwAAAGRycy9kb3ducmV2LnhtbESPQWvCQBSE74X+h+UVvJRmUw9WoqvUoiAIQjUUvT2y&#10;r9lg9m3Irib+e1cQPA4z8w0znfe2FhdqfeVYwWeSgiAunK64VJDvVx9jED4ga6wdk4IreZjPXl+m&#10;mGnX8S9ddqEUEcI+QwUmhCaT0heGLPrENcTR+3etxRBlW0rdYhfhtpbDNB1JixXHBYMN/RgqTruz&#10;VVBsFo3cdovjYTnMzd97SKvTMVdq8NZ/T0AE6sMz/GivtYIvuF+JN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eTzTEAAAA2gAAAA8AAAAAAAAAAAAAAAAAmAIAAGRycy9k&#10;b3ducmV2LnhtbFBLBQYAAAAABAAEAPUAAACJAwAAAAA=&#10;" fillcolor="#0063a6" strokecolor="#0063a6" strokeweight="2pt">
                  <v:textbox>
                    <w:txbxContent>
                      <w:p w14:paraId="30EA0FBB" w14:textId="77777777" w:rsidR="002536F9" w:rsidRPr="007E1D39" w:rsidRDefault="002536F9" w:rsidP="003A736F">
                        <w:pPr>
                          <w:pStyle w:val="NormalWeb"/>
                          <w:spacing w:before="0" w:beforeAutospacing="0" w:after="0" w:afterAutospacing="0"/>
                          <w:jc w:val="center"/>
                          <w:rPr>
                            <w:sz w:val="18"/>
                            <w:szCs w:val="18"/>
                          </w:rPr>
                        </w:pPr>
                        <w:r w:rsidRPr="007E1D39">
                          <w:rPr>
                            <w:rFonts w:ascii="Arial" w:hAnsi="Arial" w:cs="Arial"/>
                            <w:b/>
                            <w:bCs/>
                            <w:color w:val="FFFFFF" w:themeColor="background1"/>
                            <w:kern w:val="24"/>
                            <w:sz w:val="18"/>
                            <w:szCs w:val="18"/>
                          </w:rPr>
                          <w:t xml:space="preserve">Borrowings </w:t>
                        </w:r>
                        <w:r w:rsidRPr="007E1D39">
                          <w:rPr>
                            <w:rFonts w:ascii="Arial" w:hAnsi="Arial" w:cs="Arial"/>
                            <w:b/>
                            <w:bCs/>
                            <w:color w:val="FFFFFF" w:themeColor="background1"/>
                            <w:kern w:val="24"/>
                            <w:sz w:val="18"/>
                            <w:szCs w:val="18"/>
                          </w:rPr>
                          <w:br/>
                          <w:t>(TCV)</w:t>
                        </w:r>
                      </w:p>
                    </w:txbxContent>
                  </v:textbox>
                </v:rect>
                <v:oval id="Oval 19503" o:spid="_x0000_s1043" style="position:absolute;left:10023;top:4761;width:29774;height:14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NkHcQA&#10;AADeAAAADwAAAGRycy9kb3ducmV2LnhtbERPS2vCQBC+F/oflil4q5sajZpmlaLYCr34yn3ITpNg&#10;djZkV43/vlsQepuP7znZsjeNuFLnassK3oYRCOLC6ppLBafj5nUGwnlkjY1lUnAnB8vF81OGqbY3&#10;3tP14EsRQtilqKDyvk2ldEVFBt3QtsSB+7GdQR9gV0rd4S2Em0aOoiiRBmsODRW2tKqoOB8uRsE5&#10;me3o87u9NDpO1vkot/H0a6zU4KX/eAfhqff/4od7q8P8+SSK4e+dcIN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ZB3EAAAA3gAAAA8AAAAAAAAAAAAAAAAAmAIAAGRycy9k&#10;b3ducmV2LnhtbFBLBQYAAAAABAAEAPUAAACJAwAAAAA=&#10;" fillcolor="#0063a6" strokecolor="#0063a6" strokeweight="2pt"/>
                <v:rect id="Rectangle 19504" o:spid="_x0000_s1044" style="position:absolute;left:6773;width:37361;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468YA&#10;AADeAAAADwAAAGRycy9kb3ducmV2LnhtbERPTWvCQBC9F/wPyxS81U2LSo2uIhZBQYqmPehtyI5J&#10;MDsbsmtM/PWuUOhtHu9zZovWlKKh2hWWFbwPIhDEqdUFZwp+f9ZvnyCcR9ZYWiYFHTlYzHsvM4y1&#10;vfGBmsRnIoSwi1FB7n0VS+nSnAy6ga2IA3e2tUEfYJ1JXeMthJtSfkTRWBosODTkWNEqp/SSXI2C&#10;r/U4ud6b46qZdN+b7nDe7nenSqn+a7ucgvDU+n/xn3ujw/zJKBrC851wg5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l468YAAADeAAAADwAAAAAAAAAAAAAAAACYAgAAZHJz&#10;L2Rvd25yZXYueG1sUEsFBgAAAAAEAAQA9QAAAIsDAAAAAA==&#10;" filled="f" fillcolor="#0063a6 [3204]" stroked="f" strokecolor="black [3213]" strokeweight="1pt">
                  <v:shadow color="#d9d9d6 [3214]"/>
                  <v:textbox inset="2.51356mm,3.5pt,2.51356mm,3.5pt">
                    <w:txbxContent>
                      <w:p w14:paraId="6DF3BEC0" w14:textId="77777777" w:rsidR="002536F9" w:rsidRDefault="002536F9" w:rsidP="003A736F">
                        <w:pPr>
                          <w:pStyle w:val="NormalWeb"/>
                          <w:spacing w:before="0" w:beforeAutospacing="0" w:after="0" w:afterAutospacing="0"/>
                          <w:jc w:val="center"/>
                          <w:textAlignment w:val="baseline"/>
                        </w:pPr>
                        <w:r>
                          <w:rPr>
                            <w:rFonts w:ascii="Arial" w:hAnsi="Arial" w:cs="Arial"/>
                            <w:b/>
                            <w:bCs/>
                            <w:color w:val="005293"/>
                            <w:kern w:val="24"/>
                          </w:rPr>
                          <w:t>Public Account – Public Ledger</w:t>
                        </w:r>
                      </w:p>
                    </w:txbxContent>
                  </v:textbox>
                </v:rect>
                <v:shapetype id="_x0000_t202" coordsize="21600,21600" o:spt="202" path="m,l,21600r21600,l21600,xe">
                  <v:stroke joinstyle="miter"/>
                  <v:path gradientshapeok="t" o:connecttype="rect"/>
                </v:shapetype>
                <v:shape id="Text Box 4" o:spid="_x0000_s1045" type="#_x0000_t202" style="position:absolute;left:11727;top:10760;width:11270;height:4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k1McA&#10;AADeAAAADwAAAGRycy9kb3ducmV2LnhtbESPQWsCMRCF74X+hzBCb5poXdHVKCJYxPZSbfE6bKbZ&#10;bTeTZZPq2l/fFITeZnhv3vdmsepcLc7UhsqzhuFAgSAuvKnYang7bvtTECEiG6w9k4YrBVgt7+8W&#10;mBt/4Vc6H6IVKYRDjhrKGJtcylCU5DAMfEOctA/fOoxpba00LV5SuKvlSKmJdFhxIpTY0Kak4uvw&#10;7RLEnlTm3NOLfR/9xMfT+PN5vT9q/dDr1nMQkbr4b75d70yqP8tUBn/vpBn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ipNTHAAAA3gAAAA8AAAAAAAAAAAAAAAAAmAIAAGRy&#10;cy9kb3ducmV2LnhtbFBLBQYAAAAABAAEAPUAAACMAwAAAAA=&#10;" filled="f" fillcolor="#0063a6 [3204]" stroked="f" strokecolor="black [3213]">
                  <v:shadow color="#d9d9d6 [3214]"/>
                  <v:textbox>
                    <w:txbxContent>
                      <w:p w14:paraId="31C17553" w14:textId="77777777" w:rsidR="002536F9" w:rsidRPr="006926C1" w:rsidRDefault="002536F9" w:rsidP="003A736F">
                        <w:pPr>
                          <w:pStyle w:val="NormalWeb"/>
                          <w:spacing w:before="0" w:beforeAutospacing="0" w:after="0" w:afterAutospacing="0"/>
                          <w:jc w:val="center"/>
                          <w:textAlignment w:val="baseline"/>
                          <w:rPr>
                            <w:rFonts w:ascii="Arial" w:hAnsi="Arial" w:cs="Arial"/>
                            <w:color w:val="FFFFFF" w:themeColor="background1"/>
                          </w:rPr>
                        </w:pPr>
                        <w:r>
                          <w:rPr>
                            <w:rFonts w:ascii="Arial" w:hAnsi="Arial" w:cs="Arial"/>
                            <w:b/>
                            <w:bCs/>
                            <w:color w:val="FFFFFF" w:themeColor="background1"/>
                            <w:kern w:val="24"/>
                            <w:sz w:val="20"/>
                            <w:szCs w:val="20"/>
                          </w:rPr>
                          <w:t xml:space="preserve">Consolidated </w:t>
                        </w:r>
                        <w:r>
                          <w:rPr>
                            <w:rFonts w:ascii="Arial" w:hAnsi="Arial" w:cs="Arial"/>
                            <w:b/>
                            <w:bCs/>
                            <w:color w:val="FFFFFF" w:themeColor="background1"/>
                            <w:kern w:val="24"/>
                            <w:sz w:val="20"/>
                            <w:szCs w:val="20"/>
                          </w:rPr>
                          <w:br/>
                        </w:r>
                        <w:r w:rsidRPr="006926C1">
                          <w:rPr>
                            <w:rFonts w:ascii="Arial" w:hAnsi="Arial" w:cs="Arial"/>
                            <w:b/>
                            <w:bCs/>
                            <w:color w:val="FFFFFF" w:themeColor="background1"/>
                            <w:kern w:val="24"/>
                            <w:sz w:val="20"/>
                            <w:szCs w:val="20"/>
                          </w:rPr>
                          <w:t xml:space="preserve">Fund </w:t>
                        </w:r>
                      </w:p>
                    </w:txbxContent>
                  </v:textbox>
                </v:shape>
                <v:shape id="Text Box 5" o:spid="_x0000_s1046" type="#_x0000_t202" style="position:absolute;left:27991;top:10762;width:6369;height:4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6o8gA&#10;AADeAAAADwAAAGRycy9kb3ducmV2LnhtbESPT2sCMRDF7wW/Qxiht5poVXQ1ihRaivVS/+B12IzZ&#10;tZvJskl19dM3hUJvM7w37/dmvmxdJS7UhNKzhn5PgSDOvSnZatjvXp8mIEJENlh5Jg03CrBcdB7m&#10;mBl/5U+6bKMVKYRDhhqKGOtMypAX5DD0fE2ctJNvHMa0NlaaBq8p3FVyoNRYOiw5EQqs6aWg/Gv7&#10;7RLEHtXIubeNPQzu8fk4PH+s1jutH7vtagYiUhv/zX/X7ybVn47UGH7fSTP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cDqjyAAAAN4AAAAPAAAAAAAAAAAAAAAAAJgCAABk&#10;cnMvZG93bnJldi54bWxQSwUGAAAAAAQABAD1AAAAjQMAAAAA&#10;" filled="f" fillcolor="#0063a6 [3204]" stroked="f" strokecolor="black [3213]">
                  <v:shadow color="#d9d9d6 [3214]"/>
                  <v:textbox>
                    <w:txbxContent>
                      <w:p w14:paraId="603409D6" w14:textId="77777777" w:rsidR="002536F9" w:rsidRPr="006926C1" w:rsidRDefault="002536F9" w:rsidP="003A736F">
                        <w:pPr>
                          <w:pStyle w:val="NormalWeb"/>
                          <w:spacing w:before="0" w:beforeAutospacing="0" w:after="0" w:afterAutospacing="0"/>
                          <w:jc w:val="center"/>
                          <w:textAlignment w:val="baseline"/>
                          <w:rPr>
                            <w:color w:val="FFFFFF" w:themeColor="background1"/>
                          </w:rPr>
                        </w:pPr>
                        <w:r w:rsidRPr="006926C1">
                          <w:rPr>
                            <w:rFonts w:ascii="Arial" w:hAnsi="Arial" w:cs="Arial"/>
                            <w:b/>
                            <w:bCs/>
                            <w:color w:val="FFFFFF" w:themeColor="background1"/>
                            <w:kern w:val="24"/>
                            <w:sz w:val="20"/>
                            <w:szCs w:val="20"/>
                          </w:rPr>
                          <w:t xml:space="preserve">Trust </w:t>
                        </w:r>
                        <w:r w:rsidRPr="006926C1">
                          <w:rPr>
                            <w:rFonts w:ascii="Arial" w:hAnsi="Arial" w:cs="Arial"/>
                            <w:b/>
                            <w:bCs/>
                            <w:color w:val="FFFFFF" w:themeColor="background1"/>
                            <w:kern w:val="24"/>
                            <w:sz w:val="20"/>
                            <w:szCs w:val="20"/>
                          </w:rPr>
                          <w:br/>
                          <w:t>Fund</w:t>
                        </w:r>
                      </w:p>
                    </w:txbxContent>
                  </v:textbox>
                </v:shape>
                <v:line id="Line 6" o:spid="_x0000_s1047" style="position:absolute;flip:x;visibility:visible;mso-wrap-style:square" from="24904,7570" to="24904,1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DsYAAADeAAAADwAAAGRycy9kb3ducmV2LnhtbERPS0vDQBC+C/6HZQQv0m5qqdbYTahC&#10;wV6KpoFeh+zkobuzMbu20V/vFgRv8/E9Z5WP1ogjDb5zrGA2TUAQV0533Cgo95vJEoQPyBqNY1Lw&#10;TR7y7PJihal2J36jYxEaEUPYp6igDaFPpfRVSxb91PXEkavdYDFEODRSD3iK4dbI2yS5kxY7jg0t&#10;9vTcUvVRfFkFr2FX35hiftguOlmPT8X7pyl/lLq+GtePIAKN4V/8537Rcf7DIrmH8zvxBp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mPw7GAAAA3gAAAA8AAAAAAAAA&#10;AAAAAAAAoQIAAGRycy9kb3ducmV2LnhtbFBLBQYAAAAABAAEAPkAAACUAwAAAAA=&#10;" strokecolor="window" strokeweight="1.5pt">
                  <v:shadow color="#d9d9d6 [3214]"/>
                </v:line>
                <v:shape id="Text Box 16" o:spid="_x0000_s1048" type="#_x0000_t202" style="position:absolute;left:37656;top:29174;width:14026;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MLSsYA&#10;AADeAAAADwAAAGRycy9kb3ducmV2LnhtbESPTU8CMRCG7yb+h2ZMuEkLiNGVQogJxiAXQcN1sh27&#10;i9vpZltg5dc7BxNvM5n345nZog+NOlGX6sgWRkMDiriMrmZv4WO3un0AlTKywyYyWfihBIv59dUM&#10;CxfP/E6nbfZKQjgVaKHKuS20TmVFAdMwtsRy+4pdwCxr57Xr8CzhodFjY+51wJqlocKWnisqv7fH&#10;ICV+b6YhvGz85/iSJ/u7w9tyvbN2cNMvn0Bl6vO/+M/96gT/cWqEV96RG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MLSsYAAADeAAAADwAAAAAAAAAAAAAAAACYAgAAZHJz&#10;L2Rvd25yZXYueG1sUEsFBgAAAAAEAAQA9QAAAIsDAAAAAA==&#10;" filled="f" fillcolor="#0063a6 [3204]" stroked="f" strokecolor="black [3213]">
                  <v:shadow color="#d9d9d6 [3214]"/>
                  <v:textbox>
                    <w:txbxContent>
                      <w:p w14:paraId="527FD726" w14:textId="77777777" w:rsidR="002536F9" w:rsidRDefault="002536F9" w:rsidP="003A736F">
                        <w:pPr>
                          <w:pStyle w:val="NormalWeb"/>
                          <w:spacing w:before="0" w:beforeAutospacing="0" w:after="0" w:afterAutospacing="0"/>
                          <w:textAlignment w:val="baseline"/>
                        </w:pPr>
                        <w:r>
                          <w:rPr>
                            <w:rFonts w:ascii="Arial" w:hAnsi="Arial" w:cs="Arial"/>
                            <w:b/>
                            <w:bCs/>
                            <w:color w:val="000000"/>
                            <w:kern w:val="24"/>
                          </w:rPr>
                          <w:t>Banking arrangements</w:t>
                        </w:r>
                      </w:p>
                    </w:txbxContent>
                  </v:textbox>
                </v:shape>
                <v:line id="Line 17" o:spid="_x0000_s1049" style="position:absolute;visibility:visible;mso-wrap-style:square" from="0,18946" to="48622,18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666MYAAADeAAAADwAAAGRycy9kb3ducmV2LnhtbERP32vCMBB+H+x/CCfsZcx0so3ZGUVE&#10;i+LL6mTPR3Nris2lJpnt/nszGOztPr6fN1sMthUX8qFxrOBxnIEgrpxuuFZw/Ng8vIIIEVlj65gU&#10;/FCAxfz2Zoa5dj2XdDnEWqQQDjkqMDF2uZShMmQxjF1HnLgv5y3GBH0ttcc+hdtWTrLsRVpsODUY&#10;7GhlqDodvq2C7f256D+Lcu/9rjwWm375tDbvSt2NhuUbiEhD/Bf/ubc6zZ8+Z1P4fSfd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uujGAAAA3gAAAA8AAAAAAAAA&#10;AAAAAAAAoQIAAGRycy9kb3ducmV2LnhtbFBLBQYAAAAABAAEAPkAAACUAwAAAAA=&#10;" strokecolor="#8a2a2b" strokeweight="3pt">
                  <v:shadow color="#d9d9d6 [3214]"/>
                </v:line>
                <v:shape id="Text Box 18" o:spid="_x0000_s1050" type="#_x0000_t202" style="position:absolute;left:17461;top:4761;width:15557;height:4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RkcgA&#10;AADeAAAADwAAAGRycy9kb3ducmV2LnhtbESPT2/CMAzF75P4DpGRdhspDKZRCAghbZrYLuOPuFqN&#10;l3Y0TtVkUPj082HSbrb83vv5zZedr9WZ2lgFNjAcZKCIi2Ardgb2u5eHZ1AxIVusA5OBK0VYLnp3&#10;c8xtuPAnnbfJKQnhmKOBMqUm1zoWJXmMg9AQy+0rtB6TrK3TtsWLhPtaj7LsSXusWAglNrQuqTht&#10;f7xA3DGbeP/64Q6jW3o8jr/fV5udMff9bjUDlahL/+I/95uV96eToRSQOjKD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DJGRyAAAAN4AAAAPAAAAAAAAAAAAAAAAAJgCAABk&#10;cnMvZG93bnJldi54bWxQSwUGAAAAAAQABAD1AAAAjQMAAAAA&#10;" filled="f" fillcolor="#0063a6 [3204]" stroked="f" strokecolor="black [3213]">
                  <v:shadow color="#d9d9d6 [3214]"/>
                  <v:textbox>
                    <w:txbxContent>
                      <w:p w14:paraId="45A9D691" w14:textId="77777777" w:rsidR="002536F9" w:rsidRPr="006926C1" w:rsidRDefault="002536F9" w:rsidP="003A736F">
                        <w:pPr>
                          <w:pStyle w:val="NormalWeb"/>
                          <w:spacing w:before="120" w:beforeAutospacing="0" w:after="0" w:afterAutospacing="0"/>
                          <w:jc w:val="center"/>
                          <w:textAlignment w:val="baseline"/>
                          <w:rPr>
                            <w:color w:val="FFFFFF" w:themeColor="background1"/>
                          </w:rPr>
                        </w:pPr>
                        <w:r w:rsidRPr="006926C1">
                          <w:rPr>
                            <w:rFonts w:ascii="Arial" w:hAnsi="Arial" w:cs="Arial"/>
                            <w:b/>
                            <w:bCs/>
                            <w:color w:val="FFFFFF" w:themeColor="background1"/>
                            <w:kern w:val="24"/>
                            <w:sz w:val="20"/>
                            <w:szCs w:val="20"/>
                          </w:rPr>
                          <w:t>Public Ledger</w:t>
                        </w:r>
                      </w:p>
                    </w:txbxContent>
                  </v:textbox>
                </v:shape>
                <v:shape id="Text Box 16" o:spid="_x0000_s1051" type="#_x0000_t202" style="position:absolute;left:37657;top:14296;width:16328;height:3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0CsgA&#10;AADeAAAADwAAAGRycy9kb3ducmV2LnhtbESPT2sCMRDF7wW/Q5hCb5pdW4uuRhFBKdZL/YPXYTNm&#10;t24myybq2k/fFITeZnhv3u/NZNbaSlyp8aVjBWkvAUGcO12yUbDfLbtDED4ga6wck4I7eZhNO08T&#10;zLS78Rddt8GIGMI+QwVFCHUmpc8Lsuh7riaO2sk1FkNcGyN1g7cYbivZT5J3abHkSCiwpkVB+Xl7&#10;sRFijsnA2tXGHPo/4fX49v05X++Uenlu52MQgdrwb35cf+hYfzRIU/h7J84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QDQKyAAAAN4AAAAPAAAAAAAAAAAAAAAAAJgCAABk&#10;cnMvZG93bnJldi54bWxQSwUGAAAAAAQABAD1AAAAjQMAAAAA&#10;" filled="f" fillcolor="#0063a6 [3204]" stroked="f" strokecolor="black [3213]">
                  <v:shadow color="#d9d9d6 [3214]"/>
                  <v:textbox>
                    <w:txbxContent>
                      <w:p w14:paraId="574A4BC5" w14:textId="77777777" w:rsidR="002536F9" w:rsidRDefault="002536F9" w:rsidP="003A736F">
                        <w:pPr>
                          <w:pStyle w:val="NormalWeb"/>
                          <w:spacing w:before="0" w:beforeAutospacing="0" w:after="0" w:afterAutospacing="0"/>
                          <w:textAlignment w:val="baseline"/>
                        </w:pPr>
                        <w:r>
                          <w:rPr>
                            <w:rFonts w:ascii="Arial" w:hAnsi="Arial" w:cs="Arial"/>
                            <w:b/>
                            <w:bCs/>
                            <w:color w:val="000000"/>
                            <w:kern w:val="24"/>
                          </w:rPr>
                          <w:t>Accounting</w:t>
                        </w:r>
                      </w:p>
                    </w:txbxContent>
                  </v:textbox>
                </v:shape>
                <v:line id="Straight Connector 19512" o:spid="_x0000_s1052" style="position:absolute;flip:y;visibility:visible;mso-wrap-style:square" from="22997,13172" to="26965,1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YwMMAAADeAAAADwAAAGRycy9kb3ducmV2LnhtbERPTWsCMRC9F/wPYQQvolmVil2NIoJQ&#10;qJfqitdhM91d3EyWJGr67xtB6G0e73NWm2hacSfnG8sKJuMMBHFpdcOVguK0Hy1A+ICssbVMCn7J&#10;w2bde1thru2Dv+l+DJVIIexzVFCH0OVS+rImg35sO+LE/VhnMCToKqkdPlK4aeU0y+bSYMOpocaO&#10;djWV1+PNKGBHX/JyOcc2FsVwLmeHod8vlBr043YJIlAM/+KX+1On+R/vkyk830k3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D2MDDAAAA3gAAAA8AAAAAAAAAAAAA&#10;AAAAoQIAAGRycy9kb3ducmV2LnhtbFBLBQYAAAAABAAEAPkAAACRAwAAAAA=&#10;" strokecolor="window">
                  <v:stroke startarrow="classic" endarrow="classic"/>
                </v:line>
                <v:line id="Straight Connector 19513" o:spid="_x0000_s1053" style="position:absolute;visibility:visible;mso-wrap-style:square" from="6773,26182" to="16642,3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xansQAAADeAAAADwAAAGRycy9kb3ducmV2LnhtbERPyWrDMBC9F/oPYgq91bJdEhIniikJ&#10;gR5yaZb7xJpYxtbIWKrj9uurQqG3ebx11uVkOzHS4BvHCrIkBUFcOd1wreB82r8sQPiArLFzTAq+&#10;yEO5eXxYY6HdnT9oPIZaxBD2BSowIfSFlL4yZNEnrieO3M0NFkOEQy31gPcYbjuZp+lcWmw4Nhjs&#10;aWuoao+fVsE1dy50U9t+7zKzNZfsMM5rr9Tz0/S2AhFoCv/iP/e7jvOXs+wVft+JN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7FqexAAAAN4AAAAPAAAAAAAAAAAA&#10;AAAAAKECAABkcnMvZG93bnJldi54bWxQSwUGAAAAAAQABAD5AAAAkgMAAAAA&#10;" strokecolor="windowText">
                  <v:stroke startarrow="classic" endarrow="classic"/>
                </v:line>
                <v:line id="Straight Connector 19514" o:spid="_x0000_s1054" style="position:absolute;visibility:visible;mso-wrap-style:square" from="14383,16959" to="22997,2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XC6sQAAADeAAAADwAAAGRycy9kb3ducmV2LnhtbERPyWrDMBC9F/oPYgq91bJNExIniikJ&#10;gR5yaZb7xJpYxtbIWKrj9uurQqG3ebx11uVkOzHS4BvHCrIkBUFcOd1wreB82r8sQPiArLFzTAq+&#10;yEO5eXxYY6HdnT9oPIZaxBD2BSowIfSFlL4yZNEnrieO3M0NFkOEQy31gPcYbjuZp+lcWmw4Nhjs&#10;aWuoao+fVsE1dy50U9t+7zKzNZfsMM5rr9Tz0/S2AhFoCv/iP/e7jvOXs+wVft+JN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LqxAAAAN4AAAAPAAAAAAAAAAAA&#10;AAAAAKECAABkcnMvZG93bnJldi54bWxQSwUGAAAAAAQABAD5AAAAkgMAAAAA&#10;" strokecolor="windowText">
                  <v:stroke startarrow="classic" endarrow="classic"/>
                </v:line>
                <v:line id="Straight Connector 19515" o:spid="_x0000_s1055" style="position:absolute;flip:x;visibility:visible;mso-wrap-style:square" from="26964,16959" to="35437,29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qzYsgAAADeAAAADwAAAGRycy9kb3ducmV2LnhtbESPQWvCQBCF7wX/wzIFb3WjYtHUVSS0&#10;1YOgplKvQ3ZMgtnZkN1q9Ne7QsHbDO/N+95M562pxJkaV1pW0O9FIIgzq0vOFex/vt7GIJxH1lhZ&#10;JgVXcjCfdV6mGGt74R2dU5+LEMIuRgWF93UspcsKMuh6tiYO2tE2Bn1Ym1zqBi8h3FRyEEXv0mDJ&#10;gVBgTUlB2Sn9M4H7u/20x+Veb4a36PtwSNabNBkr1X1tFx8gPLX+af6/XulQfzLqj+DxTphBzu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SqzYsgAAADeAAAADwAAAAAA&#10;AAAAAAAAAAChAgAAZHJzL2Rvd25yZXYueG1sUEsFBgAAAAAEAAQA+QAAAJYDAAAAAA==&#10;" strokecolor="windowText">
                  <v:stroke startarrow="classic" endarrow="classic"/>
                </v:line>
                <v:line id="Straight Connector 19516" o:spid="_x0000_s1056" style="position:absolute;flip:x;visibility:visible;mso-wrap-style:square" from="33018,26354" to="41996,3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gtFcgAAADeAAAADwAAAGRycy9kb3ducmV2LnhtbESPQWvCQBCF7wX/wzIFb3WjomjqKhLa&#10;6kFQU6nXITsmwexsyG419td3BcHbDO/N+97MFq2pxIUaV1pW0O9FIIgzq0vOFRy+P98mIJxH1lhZ&#10;JgU3crCYd15mGGt75T1dUp+LEMIuRgWF93UspcsKMuh6tiYO2sk2Bn1Ym1zqBq8h3FRyEEVjabDk&#10;QCiwpqSg7Jz+msD92X3Y0+qgt8O/6Ot4TDbbNJko1X1tl+8gPLX+aX5cr3WoPx31x3B/J8wg5/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fgtFcgAAADeAAAADwAAAAAA&#10;AAAAAAAAAAChAgAAZHJzL2Rvd25yZXYueG1sUEsFBgAAAAAEAAQA+QAAAJYDAAAAAA==&#10;" strokecolor="windowText">
                  <v:stroke startarrow="classic" endarrow="classic"/>
                </v:line>
                <w10:anchorlock/>
              </v:group>
            </w:pict>
          </mc:Fallback>
        </mc:AlternateContent>
      </w:r>
    </w:p>
    <w:p w14:paraId="05F6C3C7" w14:textId="77777777" w:rsidR="003A736F" w:rsidRDefault="003A736F" w:rsidP="000B672C">
      <w:pPr>
        <w:pStyle w:val="Spacer"/>
      </w:pPr>
    </w:p>
    <w:p w14:paraId="66C15174" w14:textId="77777777" w:rsidR="003A736F" w:rsidRPr="00271367" w:rsidRDefault="003A736F" w:rsidP="003D272A">
      <w:pPr>
        <w:pStyle w:val="Heading3"/>
      </w:pPr>
      <w:r w:rsidRPr="00271367">
        <w:t xml:space="preserve">The </w:t>
      </w:r>
      <w:r w:rsidRPr="00D00949">
        <w:t>Consolidated</w:t>
      </w:r>
      <w:r w:rsidRPr="00271367">
        <w:t xml:space="preserve"> Fund</w:t>
      </w:r>
    </w:p>
    <w:p w14:paraId="215EB6C5" w14:textId="77777777" w:rsidR="00915F84" w:rsidRDefault="00915F84" w:rsidP="003D272A">
      <w:pPr>
        <w:rPr>
          <w:b/>
          <w:bCs/>
          <w:iCs/>
        </w:rPr>
      </w:pPr>
      <w:r w:rsidRPr="00915F84">
        <w:t>The Consolidated Fund is the Government’s primary financial account in the Public Account. Under the Constitution, the Consolidated Fund receives all consolidated revenue from which payme</w:t>
      </w:r>
      <w:r w:rsidR="00934836">
        <w:t>nts, appropriated by Parliament</w:t>
      </w:r>
      <w:r w:rsidRPr="00915F84">
        <w:t xml:space="preserve"> are made.</w:t>
      </w:r>
    </w:p>
    <w:p w14:paraId="49965F0F" w14:textId="77777777" w:rsidR="003A736F" w:rsidRPr="007E1D39" w:rsidRDefault="00DD3B80" w:rsidP="003D272A">
      <w:pPr>
        <w:pStyle w:val="Heading4"/>
      </w:pPr>
      <w:r>
        <w:t>I</w:t>
      </w:r>
      <w:r w:rsidR="003A736F" w:rsidRPr="007E1D39">
        <w:t>ssuing monies from the Consolidated Fund</w:t>
      </w:r>
    </w:p>
    <w:p w14:paraId="28C9A4D5" w14:textId="135B1AD2" w:rsidR="003A736F" w:rsidRPr="00491429" w:rsidRDefault="00915F84" w:rsidP="003D272A">
      <w:r w:rsidRPr="00915F84">
        <w:t xml:space="preserve">Parliament appropriates money </w:t>
      </w:r>
      <w:r w:rsidR="00371116">
        <w:t xml:space="preserve">on a </w:t>
      </w:r>
      <w:r w:rsidRPr="00915F84">
        <w:t>Department</w:t>
      </w:r>
      <w:r w:rsidR="00371116">
        <w:t>al</w:t>
      </w:r>
      <w:r w:rsidRPr="00915F84">
        <w:t xml:space="preserve"> </w:t>
      </w:r>
      <w:r w:rsidR="00371116">
        <w:t xml:space="preserve">basis </w:t>
      </w:r>
      <w:r w:rsidRPr="00915F84">
        <w:t>annually from the Consolidated Fund for the following purposes:</w:t>
      </w:r>
    </w:p>
    <w:p w14:paraId="5AC545CF" w14:textId="6C7C13DA" w:rsidR="003A736F" w:rsidRPr="00491429" w:rsidRDefault="00915F84" w:rsidP="003D272A">
      <w:pPr>
        <w:pStyle w:val="Bullet1"/>
      </w:pPr>
      <w:r w:rsidRPr="00915F84">
        <w:t>to produce or procure goods and services (</w:t>
      </w:r>
      <w:r w:rsidR="00567586">
        <w:t>output provision</w:t>
      </w:r>
      <w:r w:rsidRPr="00915F84">
        <w:t>);</w:t>
      </w:r>
    </w:p>
    <w:p w14:paraId="5D140C82" w14:textId="3FC78B64" w:rsidR="003A736F" w:rsidRPr="00160838" w:rsidRDefault="003A736F" w:rsidP="003D272A">
      <w:pPr>
        <w:pStyle w:val="Bullet1"/>
      </w:pPr>
      <w:r>
        <w:t xml:space="preserve">to </w:t>
      </w:r>
      <w:r w:rsidRPr="00491429">
        <w:t>produce/buy capital items</w:t>
      </w:r>
      <w:r>
        <w:t xml:space="preserve"> (asset investment);</w:t>
      </w:r>
    </w:p>
    <w:p w14:paraId="6530D029" w14:textId="77777777" w:rsidR="003A736F" w:rsidRPr="00160838" w:rsidRDefault="00F324FC" w:rsidP="003D272A">
      <w:pPr>
        <w:pStyle w:val="Bullet1"/>
      </w:pPr>
      <w:r>
        <w:t>to make</w:t>
      </w:r>
      <w:r w:rsidR="003A736F">
        <w:t xml:space="preserve"> </w:t>
      </w:r>
      <w:r w:rsidR="003A736F" w:rsidRPr="006B2E75">
        <w:t>payments on behalf of the State</w:t>
      </w:r>
      <w:r w:rsidR="003A736F" w:rsidRPr="00160838">
        <w:t>; and</w:t>
      </w:r>
    </w:p>
    <w:p w14:paraId="1CAE952E" w14:textId="77777777" w:rsidR="003A736F" w:rsidRPr="00160838" w:rsidRDefault="003A736F" w:rsidP="003D272A">
      <w:pPr>
        <w:pStyle w:val="Bullet1"/>
      </w:pPr>
      <w:r w:rsidRPr="00160838">
        <w:t xml:space="preserve">as </w:t>
      </w:r>
      <w:r w:rsidRPr="005033C0">
        <w:t>specified by other legislation</w:t>
      </w:r>
      <w:r w:rsidRPr="00160838">
        <w:t>.</w:t>
      </w:r>
    </w:p>
    <w:p w14:paraId="702EFD14" w14:textId="77777777" w:rsidR="003A736F" w:rsidRDefault="003A736F" w:rsidP="003D272A">
      <w:pPr>
        <w:pStyle w:val="Heading4"/>
      </w:pPr>
      <w:r w:rsidRPr="007E1D39">
        <w:lastRenderedPageBreak/>
        <w:t>Warrants</w:t>
      </w:r>
    </w:p>
    <w:p w14:paraId="55AFD6C9" w14:textId="77777777" w:rsidR="009C240A" w:rsidRDefault="009C240A" w:rsidP="003D272A">
      <w:r>
        <w:t xml:space="preserve">The Appropriation Acts provide Government with a record of what it is legally entitled to draw down from the Consolidated Fund during a given year. Warrants are the legal instrument required to draw down the </w:t>
      </w:r>
      <w:r w:rsidRPr="00145FD0">
        <w:rPr>
          <w:b/>
        </w:rPr>
        <w:t>actual</w:t>
      </w:r>
      <w:r>
        <w:t xml:space="preserve"> funds from the Consolidated Fund.</w:t>
      </w:r>
      <w:r>
        <w:rPr>
          <w:rStyle w:val="FootnoteReference"/>
        </w:rPr>
        <w:footnoteReference w:id="8"/>
      </w:r>
    </w:p>
    <w:p w14:paraId="55CFB3DC" w14:textId="261183CF" w:rsidR="004270C5" w:rsidRDefault="004270C5" w:rsidP="003D272A">
      <w:r>
        <w:t>Each year’s Appropriation Act therefore requires a warrant to be prepared</w:t>
      </w:r>
      <w:r w:rsidR="00371116">
        <w:t xml:space="preserve"> and authorised</w:t>
      </w:r>
      <w:r>
        <w:t xml:space="preserve"> before funds can legally be drawn down from Consolidated Fund.</w:t>
      </w:r>
    </w:p>
    <w:p w14:paraId="1C33ECC5" w14:textId="5F065F96" w:rsidR="00BE5770" w:rsidRDefault="00BC6017" w:rsidP="003D272A">
      <w:r>
        <w:t>If the original warrant is insufficient, a</w:t>
      </w:r>
      <w:r w:rsidR="00DE689D">
        <w:t xml:space="preserve"> new warrant is required to draw down on </w:t>
      </w:r>
      <w:r>
        <w:t xml:space="preserve">any </w:t>
      </w:r>
      <w:r w:rsidR="00DE689D">
        <w:t xml:space="preserve">additional monies </w:t>
      </w:r>
      <w:r>
        <w:t xml:space="preserve">appropriated </w:t>
      </w:r>
      <w:r w:rsidR="00DE689D">
        <w:t>from the Consolidated Fund</w:t>
      </w:r>
      <w:r w:rsidR="009C240A">
        <w:t xml:space="preserve"> in any given year</w:t>
      </w:r>
      <w:r w:rsidR="00DE689D">
        <w:t xml:space="preserve">. </w:t>
      </w:r>
      <w:r w:rsidR="009C240A">
        <w:t>This requirement is applicable in some instances where supplementation to budgets is sought by Departments</w:t>
      </w:r>
      <w:r>
        <w:t xml:space="preserve"> – for example under sections 10 or 33 of the FMA</w:t>
      </w:r>
      <w:r w:rsidR="009C240A">
        <w:t xml:space="preserve">. </w:t>
      </w:r>
    </w:p>
    <w:p w14:paraId="0F0EFFFC" w14:textId="56F7E0CD" w:rsidR="00BE5770" w:rsidRDefault="009C240A" w:rsidP="003D272A">
      <w:r>
        <w:t xml:space="preserve">Chapter 1 provides further guidance on when a warrant is required to be prepared. </w:t>
      </w:r>
      <w:r w:rsidR="00D50962">
        <w:t xml:space="preserve">DTF prepares each warrant, which </w:t>
      </w:r>
      <w:r w:rsidR="00B92B94">
        <w:t>are</w:t>
      </w:r>
      <w:r w:rsidR="00D50962">
        <w:t xml:space="preserve"> signed by the Treasurer, counter-</w:t>
      </w:r>
      <w:r>
        <w:t xml:space="preserve">signed by the Auditor-General and </w:t>
      </w:r>
      <w:r w:rsidR="00D50962">
        <w:t xml:space="preserve">then approved by </w:t>
      </w:r>
      <w:r>
        <w:t>the Governor.</w:t>
      </w:r>
      <w:r w:rsidR="00D50962">
        <w:t xml:space="preserve"> Until this occurs, no funds may </w:t>
      </w:r>
      <w:r w:rsidR="00F03E57">
        <w:t xml:space="preserve">legally </w:t>
      </w:r>
      <w:r w:rsidR="00D50962">
        <w:t>be drawn down from Consolidated Fund.</w:t>
      </w:r>
    </w:p>
    <w:p w14:paraId="4D7F25C9" w14:textId="77777777" w:rsidR="00D33E2E" w:rsidRDefault="00D33E2E" w:rsidP="003D272A">
      <w:pPr>
        <w:pStyle w:val="Heading3"/>
      </w:pPr>
      <w:r w:rsidRPr="00271367">
        <w:t xml:space="preserve">The </w:t>
      </w:r>
      <w:r>
        <w:t xml:space="preserve">Trust </w:t>
      </w:r>
      <w:r w:rsidRPr="00271367">
        <w:t>Fund</w:t>
      </w:r>
    </w:p>
    <w:p w14:paraId="21D9758D" w14:textId="77777777" w:rsidR="00D33E2E" w:rsidRDefault="00DD3B80" w:rsidP="003D272A">
      <w:r>
        <w:t>I</w:t>
      </w:r>
      <w:r w:rsidR="00D33E2E" w:rsidRPr="00A76883">
        <w:t xml:space="preserve">n the Public Account, the </w:t>
      </w:r>
      <w:r w:rsidR="00D33E2E" w:rsidRPr="00FB6253">
        <w:t>Trust Fund encompasses a number of accounts for funds that are not subject to parliamentary appropriation</w:t>
      </w:r>
      <w:r w:rsidR="00DE689D">
        <w:t>, such as</w:t>
      </w:r>
      <w:r w:rsidR="00D33E2E">
        <w:t>:</w:t>
      </w:r>
    </w:p>
    <w:p w14:paraId="488EF42A" w14:textId="06676C10" w:rsidR="00736E6E" w:rsidRDefault="00736E6E" w:rsidP="003D272A">
      <w:pPr>
        <w:pStyle w:val="Bullet1"/>
      </w:pPr>
      <w:r>
        <w:t>accounts created by legislation for specific purposes;</w:t>
      </w:r>
    </w:p>
    <w:p w14:paraId="2E7F5A6C" w14:textId="77777777" w:rsidR="00D33E2E" w:rsidRDefault="00D33E2E" w:rsidP="003D272A">
      <w:pPr>
        <w:pStyle w:val="Bullet1"/>
      </w:pPr>
      <w:r w:rsidRPr="00A76883">
        <w:t>accounts to record specific purpose payments from the Commonwealth for on</w:t>
      </w:r>
      <w:r w:rsidR="00A72E1E">
        <w:t>-</w:t>
      </w:r>
      <w:r w:rsidRPr="00A76883">
        <w:t>passing by the State to third parties</w:t>
      </w:r>
      <w:r>
        <w:t>;</w:t>
      </w:r>
      <w:r w:rsidRPr="00A76883">
        <w:t xml:space="preserve"> and</w:t>
      </w:r>
    </w:p>
    <w:p w14:paraId="66BC9D8D" w14:textId="77777777" w:rsidR="00D33E2E" w:rsidRDefault="00D33E2E" w:rsidP="003D272A">
      <w:pPr>
        <w:pStyle w:val="Bullet1"/>
      </w:pPr>
      <w:r w:rsidRPr="00A76883">
        <w:t>accounts facilitating the receipt and disbursement of private funds held by the State in trust.</w:t>
      </w:r>
    </w:p>
    <w:p w14:paraId="6CF50C87" w14:textId="2AFAD50A" w:rsidR="00D33E2E" w:rsidRDefault="00D33E2E" w:rsidP="003D272A">
      <w:r>
        <w:rPr>
          <w:lang w:eastAsia="en-US"/>
        </w:rPr>
        <w:t>Trust accounts are operated by Departments. Unlike the Consolidated Fund, n</w:t>
      </w:r>
      <w:r w:rsidRPr="00AE3C49">
        <w:t xml:space="preserve">o appropriation </w:t>
      </w:r>
      <w:r>
        <w:t xml:space="preserve">or warrant is required to authorise spending from a </w:t>
      </w:r>
      <w:r w:rsidR="00F03E57">
        <w:t>t</w:t>
      </w:r>
      <w:r>
        <w:t xml:space="preserve">rust </w:t>
      </w:r>
      <w:r w:rsidR="00F03E57">
        <w:t>a</w:t>
      </w:r>
      <w:r>
        <w:t>ccount.</w:t>
      </w:r>
    </w:p>
    <w:p w14:paraId="0FEE7CE0" w14:textId="687014A1" w:rsidR="00D33E2E" w:rsidRPr="001E7F39" w:rsidRDefault="00D33E2E" w:rsidP="003D272A">
      <w:r>
        <w:t xml:space="preserve">More information on how to set up, manage and close </w:t>
      </w:r>
      <w:r w:rsidR="00F03E57">
        <w:t>t</w:t>
      </w:r>
      <w:r>
        <w:t xml:space="preserve">rust </w:t>
      </w:r>
      <w:r w:rsidR="00F03E57">
        <w:t>a</w:t>
      </w:r>
      <w:r>
        <w:t xml:space="preserve">ccounts is provided in </w:t>
      </w:r>
      <w:r w:rsidR="002C30FF">
        <w:t>S</w:t>
      </w:r>
      <w:r w:rsidR="00D174DC">
        <w:t>ection</w:t>
      </w:r>
      <w:r w:rsidRPr="00FC3AF8">
        <w:t> </w:t>
      </w:r>
      <w:r w:rsidR="00000294">
        <w:t>1</w:t>
      </w:r>
      <w:r w:rsidR="003713DE" w:rsidRPr="00FC3AF8">
        <w:t>.2</w:t>
      </w:r>
      <w:r w:rsidRPr="00FC3AF8">
        <w:t>.</w:t>
      </w:r>
    </w:p>
    <w:p w14:paraId="4B394B28" w14:textId="77777777" w:rsidR="003A736F" w:rsidRPr="00D33E2E" w:rsidRDefault="00D33E2E" w:rsidP="003D272A">
      <w:pPr>
        <w:pStyle w:val="Heading3"/>
      </w:pPr>
      <w:r>
        <w:t>Appropriations</w:t>
      </w:r>
    </w:p>
    <w:p w14:paraId="700516B1" w14:textId="77777777" w:rsidR="00D33E2E" w:rsidRDefault="00D33E2E" w:rsidP="003D272A">
      <w:pPr>
        <w:pStyle w:val="Heading4"/>
      </w:pPr>
      <w:r>
        <w:t>Annual Appropriations</w:t>
      </w:r>
    </w:p>
    <w:p w14:paraId="0E448A5A" w14:textId="5CDF7230" w:rsidR="00D33E2E" w:rsidRDefault="00D33E2E" w:rsidP="003D272A">
      <w:r>
        <w:t xml:space="preserve">Departmental annual appropriations are made on an accrual and global basis for each Department. From </w:t>
      </w:r>
      <w:r w:rsidR="00471906">
        <w:t>this</w:t>
      </w:r>
      <w:r>
        <w:t xml:space="preserve"> global allocation of funds Department</w:t>
      </w:r>
      <w:r w:rsidR="00B34839">
        <w:t>s</w:t>
      </w:r>
      <w:r>
        <w:t xml:space="preserve"> </w:t>
      </w:r>
      <w:r w:rsidR="00BC6017">
        <w:t xml:space="preserve">are responsible for, and </w:t>
      </w:r>
      <w:r w:rsidR="00B34839">
        <w:t>manage their</w:t>
      </w:r>
      <w:r>
        <w:t xml:space="preserve"> own budgeting</w:t>
      </w:r>
      <w:r w:rsidR="00BC6017">
        <w:t xml:space="preserve"> and expenditure</w:t>
      </w:r>
      <w:r>
        <w:t xml:space="preserve">, including </w:t>
      </w:r>
      <w:r w:rsidR="00B34839">
        <w:t xml:space="preserve">budgeting </w:t>
      </w:r>
      <w:r>
        <w:t xml:space="preserve">for their portfolio </w:t>
      </w:r>
      <w:r w:rsidR="00B34839">
        <w:t>agencies</w:t>
      </w:r>
      <w:r>
        <w:t xml:space="preserve">. </w:t>
      </w:r>
    </w:p>
    <w:p w14:paraId="767C5085" w14:textId="7038B8D0" w:rsidR="00D33E2E" w:rsidRDefault="00D33E2E" w:rsidP="003D272A">
      <w:r>
        <w:t>Global appropriations provide Departments flexibility to adjust to pressures and to respond to changed circumstances</w:t>
      </w:r>
      <w:r w:rsidR="00BC6017">
        <w:t xml:space="preserve"> within the spending limit provided</w:t>
      </w:r>
      <w:r>
        <w:t xml:space="preserve">. </w:t>
      </w:r>
      <w:r w:rsidR="00471906">
        <w:t>However, s</w:t>
      </w:r>
      <w:r>
        <w:t>ignificant changes to output delivery</w:t>
      </w:r>
      <w:r w:rsidR="00BE2037">
        <w:rPr>
          <w:rStyle w:val="FootnoteReference"/>
        </w:rPr>
        <w:footnoteReference w:id="9"/>
      </w:r>
      <w:r>
        <w:t xml:space="preserve"> and/or new policy decisions require approval from </w:t>
      </w:r>
      <w:r w:rsidR="002C30FF">
        <w:t xml:space="preserve">the </w:t>
      </w:r>
      <w:r>
        <w:t>Government.</w:t>
      </w:r>
    </w:p>
    <w:p w14:paraId="5B796B96" w14:textId="77777777" w:rsidR="00F12E80" w:rsidRPr="00D72230" w:rsidRDefault="00F12E80" w:rsidP="003D272A">
      <w:pPr>
        <w:rPr>
          <w:lang w:eastAsia="en-US"/>
        </w:rPr>
      </w:pPr>
      <w:r w:rsidRPr="001C17E3">
        <w:rPr>
          <w:lang w:eastAsia="en-US"/>
        </w:rPr>
        <w:t>These Departmental appropriations, and similar appropriations for the Parliament, are set out in Schedule 1, Part 1, of the respective Appropriation Acts that are issued each financial year.</w:t>
      </w:r>
    </w:p>
    <w:p w14:paraId="16D91F87" w14:textId="77777777" w:rsidR="00857677" w:rsidRDefault="00857677">
      <w:pPr>
        <w:spacing w:before="0" w:after="200"/>
        <w:rPr>
          <w:rFonts w:asciiTheme="majorHAnsi" w:eastAsiaTheme="majorEastAsia" w:hAnsiTheme="majorHAnsi" w:cstheme="majorBidi"/>
          <w:b/>
          <w:bCs/>
          <w:iCs/>
          <w:color w:val="53565A"/>
        </w:rPr>
      </w:pPr>
      <w:r>
        <w:br w:type="page"/>
      </w:r>
    </w:p>
    <w:p w14:paraId="1A29F681" w14:textId="050E7632" w:rsidR="008B227E" w:rsidRPr="00F846EA" w:rsidRDefault="008B227E" w:rsidP="003D272A">
      <w:pPr>
        <w:pStyle w:val="Heading4"/>
      </w:pPr>
      <w:r>
        <w:lastRenderedPageBreak/>
        <w:t>Treasurer’s Advance</w:t>
      </w:r>
    </w:p>
    <w:p w14:paraId="56E273D3" w14:textId="68593E67" w:rsidR="008B227E" w:rsidRDefault="001C21D3" w:rsidP="003D272A">
      <w:r>
        <w:t>As part of the annual Appropriation Act, a</w:t>
      </w:r>
      <w:r w:rsidR="00BE5770">
        <w:t xml:space="preserve"> Treasurer’s Advance (TA) is</w:t>
      </w:r>
      <w:r w:rsidR="008B227E">
        <w:t xml:space="preserve"> appropriated</w:t>
      </w:r>
      <w:r w:rsidR="008C2E70">
        <w:t xml:space="preserve"> </w:t>
      </w:r>
      <w:r w:rsidR="008B227E">
        <w:t xml:space="preserve">to be applied at the Treasurer’s discretion to meet any urgent or unforeseen claims. </w:t>
      </w:r>
      <w:r w:rsidR="00AB2132">
        <w:t xml:space="preserve">A schedule of items of expenditure </w:t>
      </w:r>
      <w:r w:rsidR="00FB71EF">
        <w:t xml:space="preserve">is submitted for </w:t>
      </w:r>
      <w:r w:rsidR="004346F1">
        <w:t xml:space="preserve">Parliamentary </w:t>
      </w:r>
      <w:r w:rsidR="00FB71EF">
        <w:t>authority</w:t>
      </w:r>
      <w:r w:rsidR="004346F1">
        <w:t xml:space="preserve"> in a subsequent year’s Appropriation Bill. </w:t>
      </w:r>
      <w:r w:rsidR="002C30FF">
        <w:t>Refer to S</w:t>
      </w:r>
      <w:r w:rsidR="00471906" w:rsidRPr="00447980">
        <w:t>ection 1</w:t>
      </w:r>
      <w:r w:rsidR="008B227E" w:rsidRPr="00447980">
        <w:t>.3 for more information on TA.</w:t>
      </w:r>
    </w:p>
    <w:p w14:paraId="48825200" w14:textId="3A7263FE" w:rsidR="004917EE" w:rsidRPr="00F846EA" w:rsidRDefault="004917EE" w:rsidP="003D272A">
      <w:pPr>
        <w:pStyle w:val="Heading4"/>
      </w:pPr>
      <w:r>
        <w:t xml:space="preserve">Section 29 </w:t>
      </w:r>
      <w:r w:rsidR="002C30FF" w:rsidRPr="00E34010">
        <w:rPr>
          <w:i/>
        </w:rPr>
        <w:t>Financial Management Act 1994</w:t>
      </w:r>
      <w:r w:rsidR="002C30FF">
        <w:t xml:space="preserve"> -</w:t>
      </w:r>
      <w:r>
        <w:t xml:space="preserve"> Annotated Revenue</w:t>
      </w:r>
    </w:p>
    <w:p w14:paraId="4A909680" w14:textId="560A1DA7" w:rsidR="000D52A6" w:rsidRPr="000D52A6" w:rsidRDefault="000D52A6" w:rsidP="003D272A">
      <w:r w:rsidRPr="000D52A6">
        <w:t xml:space="preserve">The Appropriation Act also provides for the application of </w:t>
      </w:r>
      <w:r w:rsidR="00F75315">
        <w:t>s</w:t>
      </w:r>
      <w:r w:rsidRPr="000D52A6">
        <w:t xml:space="preserve">ection 29 of the FMA, whereby </w:t>
      </w:r>
      <w:r w:rsidR="00861D95">
        <w:t>D</w:t>
      </w:r>
      <w:r w:rsidRPr="000D52A6">
        <w:t>epartments</w:t>
      </w:r>
      <w:r w:rsidR="000D7811">
        <w:t xml:space="preserve"> on behalf of their relevant </w:t>
      </w:r>
      <w:r w:rsidR="002C30FF">
        <w:t>M</w:t>
      </w:r>
      <w:r w:rsidR="000D7811">
        <w:t xml:space="preserve">inister </w:t>
      </w:r>
      <w:r w:rsidRPr="000D52A6">
        <w:t>may</w:t>
      </w:r>
      <w:r w:rsidR="000D7811">
        <w:t xml:space="preserve"> apply to the Treasurer to </w:t>
      </w:r>
      <w:r w:rsidRPr="000D52A6">
        <w:t xml:space="preserve">retain </w:t>
      </w:r>
      <w:r w:rsidR="000D7811">
        <w:t>certain types of revenue</w:t>
      </w:r>
      <w:r w:rsidR="0085478C">
        <w:t>/receipts</w:t>
      </w:r>
      <w:r w:rsidR="000D7811">
        <w:t xml:space="preserve"> from third parties</w:t>
      </w:r>
      <w:r w:rsidRPr="001C17E3">
        <w:t xml:space="preserve">. This is covered in more detail in </w:t>
      </w:r>
      <w:r w:rsidR="002C30FF">
        <w:t>S</w:t>
      </w:r>
      <w:r w:rsidR="00471906" w:rsidRPr="001C17E3">
        <w:t>ection 1</w:t>
      </w:r>
      <w:r w:rsidR="003713DE" w:rsidRPr="001C17E3">
        <w:t>.1</w:t>
      </w:r>
      <w:r w:rsidR="00F75315">
        <w:t>.</w:t>
      </w:r>
      <w:r w:rsidR="00334380" w:rsidRPr="001C17E3">
        <w:t xml:space="preserve"> </w:t>
      </w:r>
    </w:p>
    <w:p w14:paraId="27EA97CD" w14:textId="77777777" w:rsidR="00AC784A" w:rsidRDefault="00AC784A" w:rsidP="003D272A">
      <w:pPr>
        <w:pStyle w:val="Heading4"/>
      </w:pPr>
      <w:r>
        <w:t>Special Appropriations</w:t>
      </w:r>
      <w:r w:rsidR="00231A72">
        <w:rPr>
          <w:rStyle w:val="FootnoteReference"/>
        </w:rPr>
        <w:footnoteReference w:id="10"/>
      </w:r>
    </w:p>
    <w:p w14:paraId="6DCE4B24" w14:textId="1061F387" w:rsidR="0038317A" w:rsidRDefault="0038317A" w:rsidP="003D272A">
      <w:r>
        <w:t>A special appropriation is a provision within an Act that provides authority to spend money for particular purposes, for example, to fund a particular project</w:t>
      </w:r>
      <w:r w:rsidR="0085478C">
        <w:t xml:space="preserve"> or function</w:t>
      </w:r>
      <w:r>
        <w:t>.</w:t>
      </w:r>
    </w:p>
    <w:p w14:paraId="1E25A2B6" w14:textId="41CF7721" w:rsidR="0038317A" w:rsidRDefault="0038317A" w:rsidP="003D272A">
      <w:r>
        <w:t xml:space="preserve">Examples of special appropriation in the FMA are </w:t>
      </w:r>
      <w:r w:rsidR="00F75315">
        <w:t>s</w:t>
      </w:r>
      <w:r>
        <w:t>ection 28 (borrowing against future appropriation)</w:t>
      </w:r>
      <w:r w:rsidR="00FA0033">
        <w:t xml:space="preserve"> and</w:t>
      </w:r>
      <w:r>
        <w:t xml:space="preserve"> </w:t>
      </w:r>
      <w:r w:rsidR="00F75315">
        <w:t>s</w:t>
      </w:r>
      <w:r>
        <w:t>ection 33</w:t>
      </w:r>
      <w:r w:rsidR="00FA0033">
        <w:t xml:space="preserve"> (access to previously appropriated amounts).</w:t>
      </w:r>
    </w:p>
    <w:p w14:paraId="24DFD2B2" w14:textId="7D4C7B86" w:rsidR="00FA0033" w:rsidRPr="000D52A6" w:rsidRDefault="00FA0033" w:rsidP="003D272A">
      <w:r>
        <w:t>Special appropriations are separate from global annual appropriations and are created under specific legislation.</w:t>
      </w:r>
      <w:r>
        <w:rPr>
          <w:rStyle w:val="FootnoteReference"/>
        </w:rPr>
        <w:footnoteReference w:id="11"/>
      </w:r>
      <w:r>
        <w:t xml:space="preserve"> They are often ongoing in nature</w:t>
      </w:r>
      <w:r w:rsidR="00BE5770">
        <w:t>,</w:t>
      </w:r>
      <w:r>
        <w:t xml:space="preserve"> </w:t>
      </w:r>
      <w:r w:rsidR="0085478C">
        <w:t xml:space="preserve">until such time as </w:t>
      </w:r>
      <w:r>
        <w:t>the legislation is modified or repealed. Special appropriations can also include one-off appropriations for specific amounts or amounts with sunset clauses (clauses that have a fixed life).</w:t>
      </w:r>
    </w:p>
    <w:p w14:paraId="39A2C171" w14:textId="77777777" w:rsidR="0038317A" w:rsidRDefault="0038317A" w:rsidP="003D272A">
      <w:r>
        <w:t xml:space="preserve">A number of factors </w:t>
      </w:r>
      <w:r w:rsidR="00FA0033">
        <w:t>may be</w:t>
      </w:r>
      <w:r>
        <w:t xml:space="preserve"> taken into account in determining whether an annual or special appropriation may be used in particular circumstances. Generally, a special appropriation may be used when:</w:t>
      </w:r>
    </w:p>
    <w:p w14:paraId="33E3F088" w14:textId="03007DAE" w:rsidR="0038317A" w:rsidRDefault="0038317A" w:rsidP="003D272A">
      <w:pPr>
        <w:pStyle w:val="Bullet1"/>
      </w:pPr>
      <w:r>
        <w:t>it is important to demonstrate the independence of an entity from parliament and the executive by providing for automatic payment of the remuneration of its officeholders (for example, the salaries of judges and the Auditor-General</w:t>
      </w:r>
      <w:r w:rsidR="0085478C">
        <w:t xml:space="preserve"> are included in the </w:t>
      </w:r>
      <w:r w:rsidR="0085478C" w:rsidRPr="00E34010">
        <w:rPr>
          <w:i/>
        </w:rPr>
        <w:t>Constitution Act</w:t>
      </w:r>
      <w:r w:rsidR="00F75315" w:rsidRPr="00E34010">
        <w:rPr>
          <w:i/>
        </w:rPr>
        <w:t xml:space="preserve"> 1975</w:t>
      </w:r>
      <w:r>
        <w:t>);</w:t>
      </w:r>
    </w:p>
    <w:p w14:paraId="4A8F5B23" w14:textId="40132447" w:rsidR="0038317A" w:rsidRDefault="0038317A" w:rsidP="003D272A">
      <w:pPr>
        <w:pStyle w:val="Bullet1"/>
      </w:pPr>
      <w:r>
        <w:t xml:space="preserve">it is desirable to create a legal entitlement which is to be provided </w:t>
      </w:r>
      <w:r w:rsidR="0085478C">
        <w:t>in all instances that</w:t>
      </w:r>
      <w:r>
        <w:t xml:space="preserve"> satisf</w:t>
      </w:r>
      <w:r w:rsidR="0085478C">
        <w:t>y</w:t>
      </w:r>
      <w:r>
        <w:t xml:space="preserve"> specific criteria;</w:t>
      </w:r>
    </w:p>
    <w:p w14:paraId="78A81D5C" w14:textId="77777777" w:rsidR="0038317A" w:rsidRDefault="0038317A" w:rsidP="003D272A">
      <w:pPr>
        <w:pStyle w:val="Bullet1"/>
      </w:pPr>
      <w:r>
        <w:t>it is considered necessary to demonstrate the State’s ability to meet its financial obligations independently of parliamentary approval of funds (for example, the repayment of loans); or</w:t>
      </w:r>
    </w:p>
    <w:p w14:paraId="647B55D8" w14:textId="4F19FD50" w:rsidR="0038317A" w:rsidRDefault="0038317A" w:rsidP="003D272A">
      <w:pPr>
        <w:pStyle w:val="Bullet1"/>
      </w:pPr>
      <w:r>
        <w:t xml:space="preserve">other unique circumstances exist </w:t>
      </w:r>
      <w:r w:rsidR="00F75315">
        <w:t xml:space="preserve">that </w:t>
      </w:r>
      <w:r>
        <w:t>would be difficult to accommodate in annual Appropriation Bills.</w:t>
      </w:r>
    </w:p>
    <w:p w14:paraId="6A993062" w14:textId="5E1E5020" w:rsidR="00D33E2E" w:rsidRDefault="00D4639A" w:rsidP="003D272A">
      <w:r>
        <w:t xml:space="preserve">The Public Account disclosure in the Budget papers provides a list of estimated special appropriation expenditure for the year. Note </w:t>
      </w:r>
      <w:r w:rsidR="00F03E57">
        <w:t xml:space="preserve">that </w:t>
      </w:r>
      <w:r>
        <w:t>i</w:t>
      </w:r>
      <w:r w:rsidR="00A576D3" w:rsidRPr="00A576D3">
        <w:t xml:space="preserve">ncreases in special appropriation expenditure beyond </w:t>
      </w:r>
      <w:r>
        <w:t xml:space="preserve">these estimates </w:t>
      </w:r>
      <w:r w:rsidR="00A576D3" w:rsidRPr="00A576D3">
        <w:t xml:space="preserve">do not require </w:t>
      </w:r>
      <w:r w:rsidR="00F75315">
        <w:t>G</w:t>
      </w:r>
      <w:r w:rsidR="00A576D3" w:rsidRPr="00A576D3">
        <w:t>overnment approval</w:t>
      </w:r>
      <w:r w:rsidR="00CA2206">
        <w:t>.</w:t>
      </w:r>
      <w:r w:rsidR="00A576D3" w:rsidRPr="00A576D3">
        <w:t xml:space="preserve"> </w:t>
      </w:r>
      <w:r w:rsidR="00CA2206">
        <w:t>H</w:t>
      </w:r>
      <w:r w:rsidR="00A576D3" w:rsidRPr="00A576D3">
        <w:t>owever, additional warrant</w:t>
      </w:r>
      <w:r w:rsidR="00F03E57">
        <w:t xml:space="preserve"> will be required</w:t>
      </w:r>
      <w:r w:rsidR="00A576D3" w:rsidRPr="00A576D3">
        <w:t>.</w:t>
      </w:r>
    </w:p>
    <w:p w14:paraId="38799976" w14:textId="77777777" w:rsidR="00857677" w:rsidRDefault="00857677">
      <w:pPr>
        <w:spacing w:before="0" w:after="200"/>
        <w:rPr>
          <w:rFonts w:asciiTheme="majorHAnsi" w:eastAsiaTheme="majorEastAsia" w:hAnsiTheme="majorHAnsi" w:cstheme="majorBidi"/>
          <w:b/>
          <w:bCs/>
          <w:color w:val="0063A6" w:themeColor="accent1"/>
          <w:sz w:val="22"/>
          <w:szCs w:val="22"/>
        </w:rPr>
      </w:pPr>
      <w:r>
        <w:br w:type="page"/>
      </w:r>
    </w:p>
    <w:p w14:paraId="11E2158B" w14:textId="229B3CD6" w:rsidR="00D43656" w:rsidRDefault="00D43656" w:rsidP="003D272A">
      <w:pPr>
        <w:pStyle w:val="Heading3"/>
      </w:pPr>
      <w:r>
        <w:lastRenderedPageBreak/>
        <w:t>Other funding sources</w:t>
      </w:r>
    </w:p>
    <w:p w14:paraId="3965E45D" w14:textId="77777777" w:rsidR="00B92B94" w:rsidRDefault="004917EE" w:rsidP="003D272A">
      <w:r>
        <w:t xml:space="preserve">A Department’s revenue base </w:t>
      </w:r>
      <w:r w:rsidR="00A336DF">
        <w:t>may</w:t>
      </w:r>
      <w:r>
        <w:t xml:space="preserve"> also </w:t>
      </w:r>
      <w:r w:rsidR="00231A72">
        <w:t>consist</w:t>
      </w:r>
      <w:r>
        <w:t xml:space="preserve"> of funds</w:t>
      </w:r>
      <w:r w:rsidR="00D43656">
        <w:t xml:space="preserve"> received and held</w:t>
      </w:r>
      <w:r w:rsidR="0072367C">
        <w:t xml:space="preserve"> outside the Public </w:t>
      </w:r>
      <w:r w:rsidR="0072367C" w:rsidRPr="00F7511B">
        <w:t>Account</w:t>
      </w:r>
      <w:r w:rsidR="0072367C">
        <w:t xml:space="preserve"> (</w:t>
      </w:r>
      <w:r w:rsidR="00A336DF">
        <w:t>such as third-party revenue held in separate bank accounts by schools</w:t>
      </w:r>
      <w:r w:rsidR="0072367C">
        <w:t>).</w:t>
      </w:r>
      <w:r w:rsidR="0085478C">
        <w:t xml:space="preserve"> In addition, </w:t>
      </w:r>
      <w:r w:rsidR="00953E77">
        <w:t xml:space="preserve">other general government sector </w:t>
      </w:r>
      <w:r w:rsidR="0085478C">
        <w:t xml:space="preserve">portfolio agencies are created on a ‘stand-alone’ basis such that they are able to generate and retain certain </w:t>
      </w:r>
      <w:r w:rsidR="00953E77">
        <w:t xml:space="preserve">additional </w:t>
      </w:r>
      <w:r w:rsidR="0085478C">
        <w:t xml:space="preserve">revenues without the requirement to pay it to the Consolidated Fund. </w:t>
      </w:r>
      <w:r w:rsidR="00953E77">
        <w:t>However, t</w:t>
      </w:r>
      <w:r w:rsidR="0085478C">
        <w:t xml:space="preserve">hese agencies </w:t>
      </w:r>
      <w:r w:rsidR="00953E77">
        <w:t>are generally</w:t>
      </w:r>
      <w:r w:rsidR="0085478C">
        <w:t xml:space="preserve"> reliant o</w:t>
      </w:r>
      <w:r w:rsidR="00953E77">
        <w:t>n</w:t>
      </w:r>
      <w:r w:rsidR="0085478C">
        <w:t xml:space="preserve"> appropriated funds transferred from their department to deliver the </w:t>
      </w:r>
      <w:r w:rsidR="008B5E21">
        <w:t>G</w:t>
      </w:r>
      <w:r w:rsidR="0085478C">
        <w:t>overnment’s outputs or services (</w:t>
      </w:r>
      <w:r w:rsidR="00736E6E">
        <w:t xml:space="preserve">such as </w:t>
      </w:r>
      <w:r w:rsidR="00953E77">
        <w:t>hospitals</w:t>
      </w:r>
      <w:r w:rsidR="00736E6E">
        <w:t>,</w:t>
      </w:r>
      <w:r w:rsidR="00953E77">
        <w:t xml:space="preserve"> TAFEs </w:t>
      </w:r>
      <w:r w:rsidR="00736E6E">
        <w:t>and</w:t>
      </w:r>
      <w:r w:rsidR="00953E77">
        <w:t xml:space="preserve"> certain transport-related entities). </w:t>
      </w:r>
    </w:p>
    <w:p w14:paraId="2961253A" w14:textId="14F694C9" w:rsidR="00D43656" w:rsidRDefault="00953E77" w:rsidP="003D272A">
      <w:r>
        <w:t xml:space="preserve">Government-owned businesses which generate their own operating revenue (such as water authorities) are subject to a different set of governance oversight and are outside the scope of this </w:t>
      </w:r>
      <w:r w:rsidR="0015047B">
        <w:t>Budget Operations F</w:t>
      </w:r>
      <w:r>
        <w:t>ramework.</w:t>
      </w:r>
    </w:p>
    <w:p w14:paraId="0EDDF099" w14:textId="77777777" w:rsidR="00341B1C" w:rsidRDefault="00341B1C" w:rsidP="003D272A">
      <w:pPr>
        <w:pStyle w:val="Heading2"/>
      </w:pPr>
      <w:bookmarkStart w:id="22" w:name="_Toc476658083"/>
      <w:r w:rsidRPr="00F7511B">
        <w:t>General</w:t>
      </w:r>
      <w:r>
        <w:t xml:space="preserve"> framework concepts</w:t>
      </w:r>
      <w:bookmarkEnd w:id="22"/>
    </w:p>
    <w:p w14:paraId="7363DED7" w14:textId="77777777" w:rsidR="000D52A6" w:rsidRPr="000D52A6" w:rsidRDefault="001423FC" w:rsidP="003D272A">
      <w:pPr>
        <w:pStyle w:val="Heading3"/>
      </w:pPr>
      <w:r>
        <w:t>The concept of a</w:t>
      </w:r>
      <w:r w:rsidR="000D52A6" w:rsidRPr="000D52A6">
        <w:t>ppropriation limits</w:t>
      </w:r>
    </w:p>
    <w:p w14:paraId="5968E653" w14:textId="77777777" w:rsidR="000D52A6" w:rsidRPr="007E1D39" w:rsidRDefault="00A72E1E" w:rsidP="003D272A">
      <w:r w:rsidRPr="00A72E1E">
        <w:t>‘Appropriation limits’ are the maximum amount</w:t>
      </w:r>
      <w:r w:rsidR="00A14828">
        <w:t>s</w:t>
      </w:r>
      <w:r w:rsidRPr="00A72E1E">
        <w:t xml:space="preserve"> able to be legally drawn from the Consolidated Fund for any given item of appropriation. These limits are set by the appropriation amount included in the Appropriation Act.</w:t>
      </w:r>
      <w:r w:rsidR="000D52A6" w:rsidRPr="007E1D39">
        <w:t xml:space="preserve"> </w:t>
      </w:r>
    </w:p>
    <w:p w14:paraId="2858E0AF" w14:textId="77777777" w:rsidR="000D52A6" w:rsidRPr="007E1D39" w:rsidRDefault="000D52A6" w:rsidP="003D272A">
      <w:r w:rsidRPr="007E1D39">
        <w:t>However</w:t>
      </w:r>
      <w:r w:rsidR="005C0061">
        <w:t>,</w:t>
      </w:r>
      <w:r w:rsidRPr="007E1D39">
        <w:t xml:space="preserve"> </w:t>
      </w:r>
      <w:r w:rsidR="00861D95" w:rsidRPr="007E1D39">
        <w:t>D</w:t>
      </w:r>
      <w:r w:rsidRPr="007E1D39">
        <w:t>epartments should note that:</w:t>
      </w:r>
    </w:p>
    <w:p w14:paraId="74B06DF1" w14:textId="77777777" w:rsidR="000D52A6" w:rsidRPr="004B7F77" w:rsidRDefault="000D52A6" w:rsidP="003D272A">
      <w:pPr>
        <w:pStyle w:val="Bullet1"/>
      </w:pPr>
      <w:r w:rsidRPr="004B7F77">
        <w:t xml:space="preserve">appropriations do not </w:t>
      </w:r>
      <w:r w:rsidR="00FC3AF8">
        <w:t xml:space="preserve">of themselves </w:t>
      </w:r>
      <w:r w:rsidRPr="004B7F77">
        <w:t xml:space="preserve">limit the operating expenses incurred by Departments; </w:t>
      </w:r>
    </w:p>
    <w:p w14:paraId="2F76A49F" w14:textId="77C29F54" w:rsidR="000D52A6" w:rsidRPr="004B7F77" w:rsidRDefault="000D52A6" w:rsidP="003D272A">
      <w:pPr>
        <w:pStyle w:val="Bullet1"/>
      </w:pPr>
      <w:r w:rsidRPr="004B7F77">
        <w:t xml:space="preserve">expenses incurred by Departments will give rise to liabilities and obligations which Departments are legally bound to meet as payments fall due, regardless of whether they have access to sufficient appropriations to meet these obligations; and </w:t>
      </w:r>
    </w:p>
    <w:p w14:paraId="75963B27" w14:textId="77777777" w:rsidR="000D52A6" w:rsidRPr="004B7F77" w:rsidRDefault="000D52A6" w:rsidP="003D272A">
      <w:pPr>
        <w:pStyle w:val="Bullet1"/>
      </w:pPr>
      <w:r w:rsidRPr="004B7F77">
        <w:t>once appropriation limits have bee</w:t>
      </w:r>
      <w:r w:rsidR="00A72E1E">
        <w:t>n reached, the Government is</w:t>
      </w:r>
      <w:r w:rsidRPr="004B7F77">
        <w:t xml:space="preserve"> legally </w:t>
      </w:r>
      <w:r w:rsidR="00A72E1E">
        <w:t>un</w:t>
      </w:r>
      <w:r w:rsidRPr="004B7F77">
        <w:t>able to commit additional funding to meet payments related to a Department’s expenses.</w:t>
      </w:r>
    </w:p>
    <w:p w14:paraId="1F684DBE" w14:textId="77777777" w:rsidR="000D52A6" w:rsidRPr="000D52A6" w:rsidRDefault="000D52A6" w:rsidP="003D272A">
      <w:pPr>
        <w:pStyle w:val="Heading3"/>
      </w:pPr>
      <w:r w:rsidRPr="000D52A6">
        <w:t>Accountability mechanisms</w:t>
      </w:r>
    </w:p>
    <w:p w14:paraId="7F7B2E30" w14:textId="77777777" w:rsidR="000D52A6" w:rsidRPr="000D52A6" w:rsidRDefault="000D52A6" w:rsidP="003D272A">
      <w:r w:rsidRPr="000D52A6">
        <w:t>A De</w:t>
      </w:r>
      <w:r w:rsidR="00A14828">
        <w:t xml:space="preserve">partment’s Minister(s) and </w:t>
      </w:r>
      <w:r w:rsidRPr="000D52A6">
        <w:t>Secretary are accountable to the Cabinet and Parliament for ens</w:t>
      </w:r>
      <w:r w:rsidRPr="003D272A">
        <w:t xml:space="preserve">uring that the Department’s resources are sufficient to enable </w:t>
      </w:r>
      <w:r w:rsidR="00A14828" w:rsidRPr="003D272A">
        <w:t>it</w:t>
      </w:r>
      <w:r w:rsidRPr="003D272A">
        <w:t xml:space="preserve"> to meet all payments as and </w:t>
      </w:r>
      <w:r w:rsidRPr="000D52A6">
        <w:t>when they fall due.</w:t>
      </w:r>
    </w:p>
    <w:p w14:paraId="33A7E22C" w14:textId="00675F91" w:rsidR="000D52A6" w:rsidRDefault="00DD3B80" w:rsidP="003D272A">
      <w:r>
        <w:t xml:space="preserve">Therefore, </w:t>
      </w:r>
      <w:r w:rsidR="000D52A6" w:rsidRPr="000D52A6">
        <w:t xml:space="preserve">Departments retain responsibility for monitoring the extent of application of appropriations, even though this is determined by the </w:t>
      </w:r>
      <w:r w:rsidR="000F1392">
        <w:t>Minister for Finance</w:t>
      </w:r>
      <w:r w:rsidR="000D52A6" w:rsidRPr="000D52A6">
        <w:t>’s certification</w:t>
      </w:r>
      <w:r w:rsidR="000F1392">
        <w:t>, and the Treasurer’s application</w:t>
      </w:r>
      <w:r w:rsidR="000D52A6" w:rsidRPr="000D52A6">
        <w:t xml:space="preserve"> of revenue (</w:t>
      </w:r>
      <w:r w:rsidR="008B5E21">
        <w:t>refer to</w:t>
      </w:r>
      <w:r w:rsidR="000D52A6" w:rsidRPr="000D52A6">
        <w:t xml:space="preserve"> the </w:t>
      </w:r>
      <w:r w:rsidR="000D52A6" w:rsidRPr="003713DE">
        <w:rPr>
          <w:i/>
        </w:rPr>
        <w:t>Performance Management Framework</w:t>
      </w:r>
      <w:r w:rsidR="000D52A6" w:rsidRPr="000D52A6">
        <w:t xml:space="preserve"> for further guidance).</w:t>
      </w:r>
    </w:p>
    <w:p w14:paraId="4A9C79D7" w14:textId="77777777" w:rsidR="005071FD" w:rsidRDefault="005071FD">
      <w:pPr>
        <w:spacing w:before="0" w:after="200"/>
        <w:rPr>
          <w:highlight w:val="yellow"/>
        </w:rPr>
      </w:pPr>
      <w:r>
        <w:rPr>
          <w:highlight w:val="yellow"/>
        </w:rPr>
        <w:br w:type="page"/>
      </w:r>
    </w:p>
    <w:p w14:paraId="6FFB0E5C" w14:textId="77777777" w:rsidR="00A62771" w:rsidRDefault="00CF0F2D" w:rsidP="00DA412B">
      <w:pPr>
        <w:pStyle w:val="Heading1numbered"/>
        <w:numPr>
          <w:ilvl w:val="2"/>
          <w:numId w:val="39"/>
        </w:numPr>
      </w:pPr>
      <w:bookmarkStart w:id="23" w:name="_Toc476658084"/>
      <w:r>
        <w:lastRenderedPageBreak/>
        <w:t xml:space="preserve">Mechanisms </w:t>
      </w:r>
      <w:r w:rsidR="004917EE">
        <w:t>available to</w:t>
      </w:r>
      <w:r>
        <w:t xml:space="preserve"> </w:t>
      </w:r>
      <w:r w:rsidR="00104937">
        <w:t>manage</w:t>
      </w:r>
      <w:r w:rsidR="004917EE">
        <w:t xml:space="preserve"> </w:t>
      </w:r>
      <w:r>
        <w:t>departmental funding</w:t>
      </w:r>
      <w:r w:rsidR="004917EE">
        <w:t xml:space="preserve"> levels</w:t>
      </w:r>
      <w:bookmarkEnd w:id="23"/>
    </w:p>
    <w:p w14:paraId="0D62D6C9" w14:textId="77777777" w:rsidR="00AE2404" w:rsidRDefault="00104937" w:rsidP="00AE2404">
      <w:pPr>
        <w:pStyle w:val="NormalIndent"/>
      </w:pPr>
      <w:r>
        <w:t>This section outlin</w:t>
      </w:r>
      <w:r w:rsidR="003713DE">
        <w:t>es the mechanisms available to D</w:t>
      </w:r>
      <w:r>
        <w:t>epartments to manage their funds under existing legislative arrangements, and in a</w:t>
      </w:r>
      <w:r w:rsidR="00A14828">
        <w:t>ccordance with the principles of</w:t>
      </w:r>
      <w:r>
        <w:t xml:space="preserve"> the </w:t>
      </w:r>
      <w:r w:rsidRPr="003713DE">
        <w:rPr>
          <w:i/>
        </w:rPr>
        <w:t>Performance Management Framework</w:t>
      </w:r>
      <w:r>
        <w:t>.</w:t>
      </w:r>
      <w:r w:rsidR="00BE5770">
        <w:t xml:space="preserve"> </w:t>
      </w:r>
      <w:r w:rsidR="00AE2404">
        <w:t>Possible arrangements</w:t>
      </w:r>
      <w:r w:rsidR="00E04A1A">
        <w:t xml:space="preserve"> </w:t>
      </w:r>
      <w:r w:rsidR="00AE2404">
        <w:t>include:</w:t>
      </w:r>
    </w:p>
    <w:p w14:paraId="23D69E22" w14:textId="7342B6EB" w:rsidR="00AE2404" w:rsidRPr="001C17E3" w:rsidRDefault="00AE2404" w:rsidP="00AE2404">
      <w:pPr>
        <w:pStyle w:val="Listnumindent"/>
      </w:pPr>
      <w:r>
        <w:t xml:space="preserve">The </w:t>
      </w:r>
      <w:r w:rsidRPr="00AE2404">
        <w:t>ret</w:t>
      </w:r>
      <w:r>
        <w:t xml:space="preserve">ention of </w:t>
      </w:r>
      <w:r w:rsidRPr="00AE2404">
        <w:t xml:space="preserve">fees and charges revenue </w:t>
      </w:r>
      <w:r w:rsidR="00DD3B80">
        <w:t xml:space="preserve">from </w:t>
      </w:r>
      <w:r w:rsidRPr="00AE2404">
        <w:t>the delivery of outputs</w:t>
      </w:r>
      <w:r w:rsidR="005C0061">
        <w:t>,</w:t>
      </w:r>
      <w:r w:rsidRPr="00AE2404">
        <w:t xml:space="preserve"> </w:t>
      </w:r>
      <w:r w:rsidR="00E04A1A">
        <w:t>Commonwealth grants for specific purposes, and receipts</w:t>
      </w:r>
      <w:r w:rsidRPr="00AE2404">
        <w:t xml:space="preserve"> from</w:t>
      </w:r>
      <w:r>
        <w:t xml:space="preserve"> the disposal of surplus assets under </w:t>
      </w:r>
      <w:r w:rsidR="008B5E21">
        <w:t>s</w:t>
      </w:r>
      <w:r>
        <w:t xml:space="preserve">ection 29 </w:t>
      </w:r>
      <w:r w:rsidR="008B5E21">
        <w:t xml:space="preserve">of the </w:t>
      </w:r>
      <w:r w:rsidR="008B5E21" w:rsidRPr="00BB5F4A">
        <w:rPr>
          <w:i/>
        </w:rPr>
        <w:t>Financial Management Act 1994</w:t>
      </w:r>
      <w:r w:rsidR="008B5E21">
        <w:t xml:space="preserve"> (</w:t>
      </w:r>
      <w:r>
        <w:t>FMA</w:t>
      </w:r>
      <w:r w:rsidR="008B5E21">
        <w:t>)</w:t>
      </w:r>
      <w:r>
        <w:t xml:space="preserve"> </w:t>
      </w:r>
      <w:r w:rsidR="00BE5770">
        <w:t>arrangement (</w:t>
      </w:r>
      <w:r w:rsidR="008B5E21">
        <w:t>refer to</w:t>
      </w:r>
      <w:r w:rsidRPr="001C17E3">
        <w:t xml:space="preserve"> </w:t>
      </w:r>
      <w:r w:rsidR="008B5E21">
        <w:t>S</w:t>
      </w:r>
      <w:r w:rsidR="00A14828" w:rsidRPr="001C17E3">
        <w:t>ection 1</w:t>
      </w:r>
      <w:r w:rsidR="003713DE" w:rsidRPr="001C17E3">
        <w:t>.1</w:t>
      </w:r>
      <w:r w:rsidR="00BE5770">
        <w:t xml:space="preserve"> for more information); and</w:t>
      </w:r>
    </w:p>
    <w:p w14:paraId="7B7D5245" w14:textId="26558B97" w:rsidR="00AE2404" w:rsidRPr="001C17E3" w:rsidRDefault="00AE2404" w:rsidP="00AE2404">
      <w:pPr>
        <w:pStyle w:val="Listnumindent"/>
      </w:pPr>
      <w:r w:rsidRPr="001C17E3">
        <w:t xml:space="preserve">A </w:t>
      </w:r>
      <w:r w:rsidR="00BB5F4A">
        <w:t>t</w:t>
      </w:r>
      <w:r w:rsidRPr="001C17E3">
        <w:t xml:space="preserve">rust </w:t>
      </w:r>
      <w:r w:rsidR="00BB5F4A">
        <w:t>a</w:t>
      </w:r>
      <w:r w:rsidR="00DE6D57">
        <w:t xml:space="preserve">ccount </w:t>
      </w:r>
      <w:r w:rsidRPr="001C17E3">
        <w:t xml:space="preserve">arrangement – </w:t>
      </w:r>
      <w:r w:rsidR="00BE5770">
        <w:t>circumstances when</w:t>
      </w:r>
      <w:r w:rsidR="00E04A1A">
        <w:t xml:space="preserve"> a </w:t>
      </w:r>
      <w:r w:rsidR="00BB5F4A">
        <w:t>t</w:t>
      </w:r>
      <w:r w:rsidR="00E04A1A">
        <w:t xml:space="preserve">rust </w:t>
      </w:r>
      <w:r w:rsidR="00BB5F4A">
        <w:t>a</w:t>
      </w:r>
      <w:r w:rsidR="00E04A1A">
        <w:t xml:space="preserve">ccount arrangement may be suitable </w:t>
      </w:r>
      <w:r w:rsidRPr="001C17E3">
        <w:t xml:space="preserve">are </w:t>
      </w:r>
      <w:r w:rsidR="00E04A1A">
        <w:t>outlined</w:t>
      </w:r>
      <w:r w:rsidRPr="001C17E3">
        <w:t xml:space="preserve"> in </w:t>
      </w:r>
      <w:r w:rsidR="008B5E21">
        <w:t>S</w:t>
      </w:r>
      <w:r w:rsidR="00A14828" w:rsidRPr="001C17E3">
        <w:t>ection 1</w:t>
      </w:r>
      <w:r w:rsidR="003713DE" w:rsidRPr="001C17E3">
        <w:t>.2</w:t>
      </w:r>
      <w:r w:rsidRPr="001C17E3">
        <w:t>.</w:t>
      </w:r>
    </w:p>
    <w:p w14:paraId="11CA0BB1" w14:textId="77777777" w:rsidR="00A62771" w:rsidRDefault="00A62771" w:rsidP="00056F4E">
      <w:pPr>
        <w:pStyle w:val="Heading2indent"/>
      </w:pPr>
      <w:r>
        <w:t>Supplementary funding</w:t>
      </w:r>
      <w:r w:rsidR="00AE2404">
        <w:t xml:space="preserve"> from within existing funding arrangements</w:t>
      </w:r>
    </w:p>
    <w:p w14:paraId="0F2F4B10" w14:textId="3AD8DE92" w:rsidR="00A62771" w:rsidRDefault="00A62771" w:rsidP="00A62771">
      <w:pPr>
        <w:pStyle w:val="NormalIndent"/>
      </w:pPr>
      <w:r>
        <w:t xml:space="preserve">The annual budget is the primary planning mechanism for determining </w:t>
      </w:r>
      <w:r w:rsidR="009420B8">
        <w:t xml:space="preserve">the level and priorities for </w:t>
      </w:r>
      <w:r w:rsidR="008B5E21">
        <w:t>g</w:t>
      </w:r>
      <w:r>
        <w:t xml:space="preserve">overnment spending. </w:t>
      </w:r>
      <w:r w:rsidR="00DD3B80">
        <w:t xml:space="preserve">The budget process allows </w:t>
      </w:r>
      <w:r w:rsidR="008B5E21">
        <w:t xml:space="preserve">the </w:t>
      </w:r>
      <w:r w:rsidR="00DD3B80">
        <w:t>G</w:t>
      </w:r>
      <w:r>
        <w:t xml:space="preserve">overnment </w:t>
      </w:r>
      <w:r w:rsidR="00DD3B80">
        <w:t>to</w:t>
      </w:r>
      <w:r>
        <w:t xml:space="preserve"> assess all competing proposals and make informed decisions about the allocation of the limited funding available. </w:t>
      </w:r>
    </w:p>
    <w:p w14:paraId="245F5C69" w14:textId="368941D7" w:rsidR="00A62771" w:rsidRDefault="00A62771" w:rsidP="00A62771">
      <w:pPr>
        <w:pStyle w:val="NormalIndent"/>
      </w:pPr>
      <w:r>
        <w:t xml:space="preserve">Under the </w:t>
      </w:r>
      <w:r w:rsidRPr="003713DE">
        <w:rPr>
          <w:i/>
        </w:rPr>
        <w:t>Performance Management Framework</w:t>
      </w:r>
      <w:r>
        <w:t>, Government agrees to pay a Department a fixed price for the delivery of outputs at predefined levels of quantity, quality and timeliness (performance targets). Government will</w:t>
      </w:r>
      <w:r w:rsidR="0056478D">
        <w:t xml:space="preserve"> generally</w:t>
      </w:r>
      <w:r>
        <w:t xml:space="preserve"> not increase the price it pay</w:t>
      </w:r>
      <w:r w:rsidR="00DD3B80">
        <w:t>s</w:t>
      </w:r>
      <w:r>
        <w:t xml:space="preserve"> for outputs</w:t>
      </w:r>
      <w:r w:rsidR="00E47F34">
        <w:t xml:space="preserve"> for the coming budget year once the budget has been set</w:t>
      </w:r>
      <w:r>
        <w:t xml:space="preserve">. Departments are expected to manage the expenses associated with the delivery of </w:t>
      </w:r>
      <w:r w:rsidR="00E47F34">
        <w:t xml:space="preserve">the agreed </w:t>
      </w:r>
      <w:r>
        <w:t>outputs</w:t>
      </w:r>
      <w:r w:rsidR="00E47F34">
        <w:t xml:space="preserve"> within this annual funding envelope</w:t>
      </w:r>
      <w:r>
        <w:t>.</w:t>
      </w:r>
    </w:p>
    <w:p w14:paraId="7968F970" w14:textId="77777777" w:rsidR="00A62771" w:rsidRDefault="00DD3B80" w:rsidP="00A62771">
      <w:pPr>
        <w:pStyle w:val="NormalIndent"/>
      </w:pPr>
      <w:r>
        <w:t xml:space="preserve">However, </w:t>
      </w:r>
      <w:r w:rsidR="00A62771">
        <w:t>Government may agree to provide budget supplementation to Departments outside of the normal budget process, under the following conditions:</w:t>
      </w:r>
    </w:p>
    <w:p w14:paraId="4B3640F6" w14:textId="77777777" w:rsidR="00A62771" w:rsidRDefault="00A62771" w:rsidP="00A62771">
      <w:pPr>
        <w:pStyle w:val="Bulletindent"/>
      </w:pPr>
      <w:r>
        <w:t>Outputs - Government will consider increasing the funding provided to Departments in exceptional circumstances, such as where Government agrees (between budgets) to a change in the quantity, quality and timeliness characteristics of an output;</w:t>
      </w:r>
    </w:p>
    <w:p w14:paraId="7B670032" w14:textId="77777777" w:rsidR="00A62771" w:rsidRDefault="00A62771" w:rsidP="008B0CC7">
      <w:pPr>
        <w:pStyle w:val="Bulletindent"/>
      </w:pPr>
      <w:r>
        <w:t>Assets - where Government requires a Department to undertake additional asset investment</w:t>
      </w:r>
      <w:r w:rsidR="00BE5770">
        <w:t xml:space="preserve">; </w:t>
      </w:r>
      <w:r>
        <w:t>or</w:t>
      </w:r>
    </w:p>
    <w:p w14:paraId="397F6E68" w14:textId="77777777" w:rsidR="00A62771" w:rsidRDefault="00A62771" w:rsidP="00A62771">
      <w:pPr>
        <w:pStyle w:val="Bulletindent"/>
      </w:pPr>
      <w:r>
        <w:t xml:space="preserve">Payments on Behalf of State (POBOS) - where Government approves variations to POBOS, </w:t>
      </w:r>
      <w:r w:rsidR="00BE5770">
        <w:t xml:space="preserve">with </w:t>
      </w:r>
      <w:r>
        <w:t>the form of compensation determined and approved by the Treasurer.</w:t>
      </w:r>
    </w:p>
    <w:p w14:paraId="68BB6984" w14:textId="4FF155EE" w:rsidR="00A62771" w:rsidRDefault="00A62771" w:rsidP="00A62771">
      <w:pPr>
        <w:pStyle w:val="NormalIndent"/>
      </w:pPr>
      <w:r>
        <w:t xml:space="preserve">Under the </w:t>
      </w:r>
      <w:r w:rsidRPr="003713DE">
        <w:rPr>
          <w:i/>
        </w:rPr>
        <w:t>Performance Management Framework</w:t>
      </w:r>
      <w:r>
        <w:t xml:space="preserve">, the final amounts </w:t>
      </w:r>
      <w:r w:rsidR="00E47F34">
        <w:t xml:space="preserve">earned by and </w:t>
      </w:r>
      <w:r>
        <w:t xml:space="preserve">paid to Departments are certified </w:t>
      </w:r>
      <w:r w:rsidR="007F39C3">
        <w:t xml:space="preserve">by the Minister for Finance and applied </w:t>
      </w:r>
      <w:r>
        <w:t>by the Treasurer at the end of the financial year</w:t>
      </w:r>
      <w:r w:rsidR="00DE680E">
        <w:t>. They</w:t>
      </w:r>
      <w:r>
        <w:t xml:space="preserve"> are determined using evidence submitted by the Department on the progress of their output and capital programs.</w:t>
      </w:r>
    </w:p>
    <w:p w14:paraId="78CBCFB5" w14:textId="77777777" w:rsidR="00A62771" w:rsidRDefault="00A62771" w:rsidP="00056F4E">
      <w:pPr>
        <w:pStyle w:val="Heading2indent"/>
      </w:pPr>
      <w:r>
        <w:t>Sources of supplementary funding</w:t>
      </w:r>
    </w:p>
    <w:p w14:paraId="3DEC3C07" w14:textId="787A7BA0" w:rsidR="00A62771" w:rsidRDefault="00A62771" w:rsidP="00A62771">
      <w:pPr>
        <w:pStyle w:val="NormalIndent"/>
      </w:pPr>
      <w:r>
        <w:t xml:space="preserve">The source of the additional funding, if approved, will be determined by the Treasurer taking into account the requirement to manage the overall </w:t>
      </w:r>
      <w:r w:rsidR="00DE680E">
        <w:t>p</w:t>
      </w:r>
      <w:r>
        <w:t>arliamentary appropriation authority available to the Government.</w:t>
      </w:r>
      <w:r w:rsidR="0009579D">
        <w:t xml:space="preserve"> Some of these funding sources will require the preparation of a</w:t>
      </w:r>
      <w:r w:rsidR="00E47F34">
        <w:t>dditional</w:t>
      </w:r>
      <w:r w:rsidR="0009579D">
        <w:t xml:space="preserve"> warrant.</w:t>
      </w:r>
    </w:p>
    <w:p w14:paraId="2AC7BA53" w14:textId="522ADDBB" w:rsidR="00A62771" w:rsidRDefault="00A62771" w:rsidP="003D272A">
      <w:pPr>
        <w:pStyle w:val="NormalIndent"/>
        <w:keepNext/>
      </w:pPr>
      <w:r>
        <w:lastRenderedPageBreak/>
        <w:t>Possible sources of funding may include</w:t>
      </w:r>
      <w:r w:rsidR="00CE12AA">
        <w:t xml:space="preserve"> (with references within the </w:t>
      </w:r>
      <w:r w:rsidR="00DE680E">
        <w:t>Budget Operations Framework (</w:t>
      </w:r>
      <w:r w:rsidR="00CE12AA">
        <w:t>BOF</w:t>
      </w:r>
      <w:r w:rsidR="00DE680E">
        <w:t>)</w:t>
      </w:r>
      <w:r w:rsidR="00CE12AA">
        <w:t>)</w:t>
      </w:r>
      <w:r>
        <w:t>:</w:t>
      </w:r>
    </w:p>
    <w:p w14:paraId="4B43DD91" w14:textId="7E5CEE02" w:rsidR="00A62771" w:rsidRDefault="00A62771" w:rsidP="00DA412B">
      <w:pPr>
        <w:pStyle w:val="Listnumindent"/>
        <w:numPr>
          <w:ilvl w:val="6"/>
          <w:numId w:val="31"/>
        </w:numPr>
      </w:pPr>
      <w:r>
        <w:t>supplementation</w:t>
      </w:r>
      <w:r w:rsidR="003713DE">
        <w:t xml:space="preserve"> through a Treasurer’s Advance under the Appropriation Act</w:t>
      </w:r>
      <w:r w:rsidR="001F4792">
        <w:t xml:space="preserve">. An additional warrant is </w:t>
      </w:r>
      <w:r w:rsidR="001F4792" w:rsidRPr="001F4792">
        <w:rPr>
          <w:b/>
        </w:rPr>
        <w:t>not</w:t>
      </w:r>
      <w:r w:rsidR="001F4792">
        <w:t xml:space="preserve"> required </w:t>
      </w:r>
      <w:r w:rsidR="00B9490D">
        <w:t xml:space="preserve">(refer </w:t>
      </w:r>
      <w:r w:rsidR="00DE680E">
        <w:t>to S</w:t>
      </w:r>
      <w:r w:rsidR="00A336DF">
        <w:t xml:space="preserve">ection </w:t>
      </w:r>
      <w:r w:rsidR="00CE12AA">
        <w:t>1</w:t>
      </w:r>
      <w:r w:rsidR="00A336DF">
        <w:t>.3 of the BOF)</w:t>
      </w:r>
      <w:r>
        <w:t>;</w:t>
      </w:r>
    </w:p>
    <w:p w14:paraId="0597CE3C" w14:textId="4E196946" w:rsidR="00A62771" w:rsidRDefault="00A62771" w:rsidP="00A62771">
      <w:pPr>
        <w:pStyle w:val="Listnumindent"/>
      </w:pPr>
      <w:r>
        <w:t>supplementati</w:t>
      </w:r>
      <w:r w:rsidR="003713DE">
        <w:t xml:space="preserve">on through a Temporary Advance </w:t>
      </w:r>
      <w:r>
        <w:t xml:space="preserve">under </w:t>
      </w:r>
      <w:r w:rsidR="00535E94">
        <w:t>s</w:t>
      </w:r>
      <w:r>
        <w:t>ectio</w:t>
      </w:r>
      <w:r w:rsidR="003713DE">
        <w:t>n 35 of the FMA</w:t>
      </w:r>
      <w:r w:rsidR="001F4792">
        <w:t xml:space="preserve">. A warrant is </w:t>
      </w:r>
      <w:r w:rsidR="001F4792" w:rsidRPr="001F4792">
        <w:rPr>
          <w:b/>
        </w:rPr>
        <w:t>not</w:t>
      </w:r>
      <w:r w:rsidR="001F4792">
        <w:t xml:space="preserve"> required</w:t>
      </w:r>
      <w:r w:rsidR="00B9490D">
        <w:t xml:space="preserve"> (</w:t>
      </w:r>
      <w:r w:rsidR="00535E94">
        <w:t>refer to S</w:t>
      </w:r>
      <w:r w:rsidR="00A336DF">
        <w:t>ection </w:t>
      </w:r>
      <w:r w:rsidR="00CE12AA">
        <w:t>1</w:t>
      </w:r>
      <w:r w:rsidR="00A336DF">
        <w:t>.4)</w:t>
      </w:r>
      <w:r>
        <w:t xml:space="preserve">; </w:t>
      </w:r>
    </w:p>
    <w:p w14:paraId="2BCF7D02" w14:textId="5769B86A" w:rsidR="003713DE" w:rsidRDefault="003713DE" w:rsidP="003713DE">
      <w:pPr>
        <w:pStyle w:val="Listnumindent"/>
      </w:pPr>
      <w:r w:rsidRPr="003713DE">
        <w:t xml:space="preserve">borrowing against future appropriation under </w:t>
      </w:r>
      <w:r w:rsidR="00535E94">
        <w:t>s</w:t>
      </w:r>
      <w:r w:rsidRPr="003713DE">
        <w:t>ection 28 of the FMA (this is a Spec</w:t>
      </w:r>
      <w:r>
        <w:t>ial Appropriation provision)</w:t>
      </w:r>
      <w:r w:rsidR="00A677E0">
        <w:t xml:space="preserve">. </w:t>
      </w:r>
      <w:r w:rsidR="00BE5770">
        <w:t>A w</w:t>
      </w:r>
      <w:r w:rsidR="00A677E0">
        <w:t>arrant is required for this request</w:t>
      </w:r>
      <w:r w:rsidR="00B9490D">
        <w:t xml:space="preserve"> (</w:t>
      </w:r>
      <w:r w:rsidR="00A677E0">
        <w:t xml:space="preserve">refer </w:t>
      </w:r>
      <w:r w:rsidR="001F5740">
        <w:t>S</w:t>
      </w:r>
      <w:r w:rsidR="00A336DF">
        <w:t xml:space="preserve">ection </w:t>
      </w:r>
      <w:r w:rsidR="00CE12AA">
        <w:t>1</w:t>
      </w:r>
      <w:r w:rsidR="00A336DF">
        <w:t>.5)</w:t>
      </w:r>
      <w:r>
        <w:t xml:space="preserve">; </w:t>
      </w:r>
    </w:p>
    <w:p w14:paraId="51FB8BD2" w14:textId="31F52D5B" w:rsidR="00A62771" w:rsidRDefault="00A62771" w:rsidP="00A62771">
      <w:pPr>
        <w:pStyle w:val="Listnumindent"/>
      </w:pPr>
      <w:r>
        <w:t xml:space="preserve">carryovers of unused prior years appropriations under </w:t>
      </w:r>
      <w:r w:rsidR="001F5740">
        <w:t>s</w:t>
      </w:r>
      <w:r>
        <w:t>ection 32 of the FMA</w:t>
      </w:r>
      <w:r w:rsidR="001F4792">
        <w:t xml:space="preserve">. A warrant is </w:t>
      </w:r>
      <w:r w:rsidR="001F4792" w:rsidRPr="001F4792">
        <w:rPr>
          <w:b/>
        </w:rPr>
        <w:t>not</w:t>
      </w:r>
      <w:r w:rsidR="001F4792">
        <w:t xml:space="preserve"> required</w:t>
      </w:r>
      <w:r w:rsidR="00B9490D">
        <w:t xml:space="preserve"> (</w:t>
      </w:r>
      <w:r w:rsidR="00A677E0">
        <w:t xml:space="preserve">refer </w:t>
      </w:r>
      <w:r w:rsidR="001F5740">
        <w:t>to S</w:t>
      </w:r>
      <w:r w:rsidR="00A336DF">
        <w:t>ection </w:t>
      </w:r>
      <w:r w:rsidR="00CE12AA">
        <w:t>1.7</w:t>
      </w:r>
      <w:r w:rsidR="00A336DF">
        <w:t>)</w:t>
      </w:r>
      <w:r>
        <w:t>;</w:t>
      </w:r>
    </w:p>
    <w:p w14:paraId="3A2FC5D1" w14:textId="46C7D7D3" w:rsidR="00A62771" w:rsidRDefault="00A62771" w:rsidP="00A62771">
      <w:pPr>
        <w:pStyle w:val="Listnumindent"/>
      </w:pPr>
      <w:r>
        <w:t xml:space="preserve">access to </w:t>
      </w:r>
      <w:r w:rsidR="00CC37A7">
        <w:t xml:space="preserve">balances in a Department’s State Administration Unit (SAU) inter-entity account (which may comprise </w:t>
      </w:r>
      <w:r>
        <w:t xml:space="preserve">accumulated surpluses, </w:t>
      </w:r>
      <w:r w:rsidR="00CC37A7">
        <w:t xml:space="preserve">or </w:t>
      </w:r>
      <w:r w:rsidR="00E47F34">
        <w:t xml:space="preserve">appropriation provided in prior years for specific accrued liabilities such as long service leave </w:t>
      </w:r>
      <w:r>
        <w:t>or accumulated depreciation equivalent</w:t>
      </w:r>
      <w:r w:rsidR="00CC37A7">
        <w:t>)</w:t>
      </w:r>
      <w:r w:rsidR="00FC19CA">
        <w:t xml:space="preserve">. All of the prior years’ SAU balances are accessible </w:t>
      </w:r>
      <w:r>
        <w:t xml:space="preserve">under </w:t>
      </w:r>
      <w:r w:rsidR="001F5740">
        <w:t>s</w:t>
      </w:r>
      <w:r>
        <w:t>ection 33 of the FMA</w:t>
      </w:r>
      <w:r w:rsidR="00FC19CA">
        <w:t xml:space="preserve"> and a</w:t>
      </w:r>
      <w:r w:rsidR="00BE5770">
        <w:t xml:space="preserve"> w</w:t>
      </w:r>
      <w:r w:rsidR="00A677E0">
        <w:t>arrant is required</w:t>
      </w:r>
      <w:r w:rsidR="00A576D3">
        <w:t>. This is a Special Appropriation provision</w:t>
      </w:r>
      <w:r w:rsidR="00A677E0">
        <w:t xml:space="preserve"> </w:t>
      </w:r>
      <w:r w:rsidR="00B9490D">
        <w:t>(</w:t>
      </w:r>
      <w:r w:rsidR="00A677E0">
        <w:t xml:space="preserve">refer </w:t>
      </w:r>
      <w:r w:rsidR="00F03E57">
        <w:t>S</w:t>
      </w:r>
      <w:r w:rsidR="00A336DF">
        <w:t xml:space="preserve">ection </w:t>
      </w:r>
      <w:r w:rsidR="00CE12AA">
        <w:t>1.8</w:t>
      </w:r>
      <w:r w:rsidR="00A336DF">
        <w:t>)</w:t>
      </w:r>
      <w:r w:rsidR="00C708B2">
        <w:t>;</w:t>
      </w:r>
    </w:p>
    <w:p w14:paraId="55C4A430" w14:textId="2E90B98B" w:rsidR="00C708B2" w:rsidRDefault="00C708B2" w:rsidP="00CE12AA">
      <w:pPr>
        <w:pStyle w:val="Listnumindent"/>
      </w:pPr>
      <w:r>
        <w:t>access to a Public Account advanc</w:t>
      </w:r>
      <w:r w:rsidR="00B9490D">
        <w:t xml:space="preserve">e under </w:t>
      </w:r>
      <w:r w:rsidR="001F5740">
        <w:t>s</w:t>
      </w:r>
      <w:r w:rsidR="00B9490D">
        <w:t>ection 37 of the FMA</w:t>
      </w:r>
      <w:r w:rsidR="00256C86">
        <w:t xml:space="preserve">. </w:t>
      </w:r>
      <w:r w:rsidR="00BE5770">
        <w:t>A w</w:t>
      </w:r>
      <w:r w:rsidR="00256C86">
        <w:t xml:space="preserve">arrant is </w:t>
      </w:r>
      <w:r w:rsidR="00FC19CA" w:rsidRPr="005367E0">
        <w:rPr>
          <w:b/>
        </w:rPr>
        <w:t>not</w:t>
      </w:r>
      <w:r w:rsidR="00FC19CA">
        <w:t xml:space="preserve"> </w:t>
      </w:r>
      <w:r w:rsidR="00256C86">
        <w:t>required for this request</w:t>
      </w:r>
      <w:r w:rsidR="00B9490D">
        <w:t xml:space="preserve"> </w:t>
      </w:r>
      <w:r w:rsidR="00D57FC3">
        <w:t xml:space="preserve">as it is not a drawdown from Consolidated Fund </w:t>
      </w:r>
      <w:r w:rsidR="00B9490D">
        <w:t>(</w:t>
      </w:r>
      <w:r w:rsidR="00100D4E">
        <w:t xml:space="preserve">refer </w:t>
      </w:r>
      <w:r w:rsidR="001F5740">
        <w:t>to S</w:t>
      </w:r>
      <w:r>
        <w:t xml:space="preserve">ection </w:t>
      </w:r>
      <w:r w:rsidR="00CE12AA">
        <w:t>1.9); and</w:t>
      </w:r>
    </w:p>
    <w:p w14:paraId="73DBA74A" w14:textId="012AE67C" w:rsidR="001B12A7" w:rsidRDefault="001B12A7" w:rsidP="00A62771">
      <w:pPr>
        <w:pStyle w:val="Listnumindent"/>
      </w:pPr>
      <w:r>
        <w:t xml:space="preserve">payments of </w:t>
      </w:r>
      <w:r w:rsidR="00FC19CA">
        <w:t xml:space="preserve">awards for </w:t>
      </w:r>
      <w:r>
        <w:t xml:space="preserve">salaries and related costs under </w:t>
      </w:r>
      <w:r w:rsidR="001F5740">
        <w:t>s</w:t>
      </w:r>
      <w:r>
        <w:t>ection 3(2) of the annual Appropriation Act.</w:t>
      </w:r>
      <w:r w:rsidR="00100D4E">
        <w:t xml:space="preserve"> </w:t>
      </w:r>
      <w:r w:rsidR="00BE5770">
        <w:t>A w</w:t>
      </w:r>
      <w:r w:rsidR="00100D4E">
        <w:t>arrant is required for this request.</w:t>
      </w:r>
    </w:p>
    <w:p w14:paraId="4CADCAA0" w14:textId="65D8E67B" w:rsidR="00A62771" w:rsidRDefault="00A62771" w:rsidP="00A62771">
      <w:pPr>
        <w:pStyle w:val="NormalIndent"/>
      </w:pPr>
      <w:r>
        <w:t xml:space="preserve">Each of these mechanisms require </w:t>
      </w:r>
      <w:r w:rsidR="007B0566">
        <w:t xml:space="preserve">the approval of the </w:t>
      </w:r>
      <w:r>
        <w:t xml:space="preserve">Treasurer </w:t>
      </w:r>
      <w:r w:rsidR="00100D4E">
        <w:t xml:space="preserve">or </w:t>
      </w:r>
      <w:r w:rsidR="00BE5770">
        <w:t xml:space="preserve">relevant </w:t>
      </w:r>
      <w:r w:rsidR="00531235">
        <w:t>C</w:t>
      </w:r>
      <w:r w:rsidR="00BE5770">
        <w:t>abinet committee</w:t>
      </w:r>
      <w:r>
        <w:t>. Departments should not assume an application to access one of these funding sources will guarantee receipt of that source of funding.</w:t>
      </w:r>
    </w:p>
    <w:p w14:paraId="424348FF" w14:textId="4D0EE8CE" w:rsidR="00A62771" w:rsidRDefault="00A62771" w:rsidP="00A62771">
      <w:pPr>
        <w:pStyle w:val="NormalIndent"/>
      </w:pPr>
      <w:r>
        <w:t xml:space="preserve">The conditions and processes for applying </w:t>
      </w:r>
      <w:r w:rsidR="001B12A7">
        <w:t>for most of these</w:t>
      </w:r>
      <w:r>
        <w:t xml:space="preserve"> sources of supplementary </w:t>
      </w:r>
      <w:r w:rsidRPr="00E768B7">
        <w:t>funding are</w:t>
      </w:r>
      <w:r w:rsidR="00A14828" w:rsidRPr="00E768B7">
        <w:t xml:space="preserve"> detailed</w:t>
      </w:r>
      <w:r w:rsidR="00B9490D">
        <w:t xml:space="preserve"> in </w:t>
      </w:r>
      <w:r w:rsidR="00531235">
        <w:t>S</w:t>
      </w:r>
      <w:r w:rsidRPr="00E768B7">
        <w:t>ection</w:t>
      </w:r>
      <w:r w:rsidR="00B9490D">
        <w:t>s</w:t>
      </w:r>
      <w:r w:rsidR="00A14828" w:rsidRPr="00E768B7">
        <w:t> </w:t>
      </w:r>
      <w:r w:rsidR="00CE12AA" w:rsidRPr="00E768B7">
        <w:t>1</w:t>
      </w:r>
      <w:r w:rsidR="00A336DF" w:rsidRPr="00E768B7">
        <w:t xml:space="preserve">.3 to </w:t>
      </w:r>
      <w:r w:rsidR="00CE12AA" w:rsidRPr="00E768B7">
        <w:t>1.9</w:t>
      </w:r>
      <w:r w:rsidR="00A336DF" w:rsidRPr="00E768B7">
        <w:t>.</w:t>
      </w:r>
      <w:r>
        <w:t xml:space="preserve"> </w:t>
      </w:r>
    </w:p>
    <w:p w14:paraId="2A54358E" w14:textId="77777777" w:rsidR="00A62771" w:rsidRDefault="00A62771" w:rsidP="00056F4E">
      <w:pPr>
        <w:pStyle w:val="Heading2indent"/>
      </w:pPr>
      <w:r>
        <w:t>Other mechanisms for varying funding</w:t>
      </w:r>
    </w:p>
    <w:p w14:paraId="7B975708" w14:textId="7BAF8540" w:rsidR="00A62771" w:rsidRDefault="00A62771" w:rsidP="00A62771">
      <w:pPr>
        <w:pStyle w:val="NormalIndent"/>
      </w:pPr>
      <w:r w:rsidRPr="000D52A6">
        <w:rPr>
          <w:b/>
        </w:rPr>
        <w:t>Transfer of appropriation within a department</w:t>
      </w:r>
      <w:r>
        <w:t xml:space="preserve"> - Departments may also request transfers to or from other appropriation </w:t>
      </w:r>
      <w:r w:rsidR="000D450A">
        <w:t>items (</w:t>
      </w:r>
      <w:r>
        <w:t>purposes</w:t>
      </w:r>
      <w:r w:rsidR="000D450A">
        <w:t>)</w:t>
      </w:r>
      <w:r>
        <w:t xml:space="preserve"> for that Department, with the approval of the Treasurer under </w:t>
      </w:r>
      <w:r w:rsidR="00531235">
        <w:t>s</w:t>
      </w:r>
      <w:r>
        <w:t>ection 30 of the FMA.</w:t>
      </w:r>
      <w:r w:rsidR="00B9490D">
        <w:t xml:space="preserve"> </w:t>
      </w:r>
      <w:r w:rsidR="009E762D">
        <w:t>R</w:t>
      </w:r>
      <w:r w:rsidR="00B9490D">
        <w:t xml:space="preserve">efer to </w:t>
      </w:r>
      <w:r w:rsidR="00531235">
        <w:t>S</w:t>
      </w:r>
      <w:r w:rsidR="00CE12AA">
        <w:t>ection 1.6 for more information.</w:t>
      </w:r>
    </w:p>
    <w:p w14:paraId="77F2D4ED" w14:textId="38B109D8" w:rsidR="00A62771" w:rsidRPr="000D52A6" w:rsidRDefault="00A62771" w:rsidP="00A62771">
      <w:pPr>
        <w:pStyle w:val="NormalIndent"/>
        <w:rPr>
          <w:i/>
        </w:rPr>
      </w:pPr>
      <w:r w:rsidRPr="000D52A6">
        <w:rPr>
          <w:b/>
        </w:rPr>
        <w:t xml:space="preserve">Machinery of </w:t>
      </w:r>
      <w:r w:rsidR="00531235">
        <w:rPr>
          <w:b/>
        </w:rPr>
        <w:t>g</w:t>
      </w:r>
      <w:r w:rsidRPr="000D52A6">
        <w:rPr>
          <w:b/>
        </w:rPr>
        <w:t>overnment changes</w:t>
      </w:r>
      <w:r>
        <w:t xml:space="preserve"> – </w:t>
      </w:r>
      <w:r w:rsidR="00531235">
        <w:t xml:space="preserve">The </w:t>
      </w:r>
      <w:r>
        <w:t xml:space="preserve">Government may choose to transfer administrative responsibilities and appropriation authority between Departments, under administrative arrangements ordered by the Governor in Council under the </w:t>
      </w:r>
      <w:r w:rsidRPr="000D52A6">
        <w:rPr>
          <w:i/>
        </w:rPr>
        <w:t>Administrative Arrangements Act 1983.</w:t>
      </w:r>
      <w:r w:rsidR="00CE12AA">
        <w:rPr>
          <w:i/>
        </w:rPr>
        <w:t xml:space="preserve"> </w:t>
      </w:r>
      <w:r w:rsidR="009E762D">
        <w:t xml:space="preserve">Refer to the </w:t>
      </w:r>
      <w:r w:rsidR="009E762D" w:rsidRPr="009E762D">
        <w:rPr>
          <w:i/>
        </w:rPr>
        <w:t xml:space="preserve">Victorian public sector operating manual on machinery of government changes </w:t>
      </w:r>
      <w:r w:rsidR="009E762D" w:rsidRPr="003D272A">
        <w:t>issued October 2016</w:t>
      </w:r>
      <w:r w:rsidR="009E762D">
        <w:t xml:space="preserve"> for more information.</w:t>
      </w:r>
    </w:p>
    <w:p w14:paraId="39DF6E3A" w14:textId="77777777" w:rsidR="00A62771" w:rsidRDefault="00A62771" w:rsidP="00A62771">
      <w:pPr>
        <w:spacing w:before="0" w:after="200"/>
        <w:rPr>
          <w:rFonts w:asciiTheme="majorHAnsi" w:eastAsiaTheme="majorEastAsia" w:hAnsiTheme="majorHAnsi" w:cstheme="majorBidi"/>
          <w:b/>
          <w:bCs/>
          <w:color w:val="0063A6" w:themeColor="accent1"/>
          <w:sz w:val="28"/>
          <w:szCs w:val="26"/>
        </w:rPr>
      </w:pPr>
    </w:p>
    <w:p w14:paraId="4B9470B9" w14:textId="77777777" w:rsidR="00A62771" w:rsidRDefault="00A62771" w:rsidP="00A62771">
      <w:pPr>
        <w:spacing w:before="0" w:after="200"/>
        <w:rPr>
          <w:highlight w:val="yellow"/>
        </w:rPr>
      </w:pPr>
      <w:bookmarkStart w:id="24" w:name="_Toc457816796"/>
      <w:bookmarkStart w:id="25" w:name="_Toc457817076"/>
      <w:bookmarkStart w:id="26" w:name="_Toc457817289"/>
      <w:bookmarkStart w:id="27" w:name="_Toc457816799"/>
      <w:bookmarkStart w:id="28" w:name="_Toc457817079"/>
      <w:bookmarkStart w:id="29" w:name="_Toc457817292"/>
      <w:bookmarkStart w:id="30" w:name="_Toc457816807"/>
      <w:bookmarkStart w:id="31" w:name="_Toc457817087"/>
      <w:bookmarkStart w:id="32" w:name="_Toc457817300"/>
      <w:bookmarkEnd w:id="24"/>
      <w:bookmarkEnd w:id="25"/>
      <w:bookmarkEnd w:id="26"/>
      <w:bookmarkEnd w:id="27"/>
      <w:bookmarkEnd w:id="28"/>
      <w:bookmarkEnd w:id="29"/>
      <w:bookmarkEnd w:id="30"/>
      <w:bookmarkEnd w:id="31"/>
      <w:bookmarkEnd w:id="32"/>
      <w:r>
        <w:br w:type="page"/>
      </w:r>
    </w:p>
    <w:p w14:paraId="18B55841" w14:textId="41150B4B" w:rsidR="005071FD" w:rsidRDefault="00373BB7" w:rsidP="003D272A">
      <w:pPr>
        <w:pStyle w:val="Heading2numbered"/>
        <w:numPr>
          <w:ilvl w:val="3"/>
          <w:numId w:val="92"/>
        </w:numPr>
      </w:pPr>
      <w:bookmarkStart w:id="33" w:name="_Toc476658085"/>
      <w:r>
        <w:lastRenderedPageBreak/>
        <w:t xml:space="preserve">Appropriation of certain revenue and asset proceeds – </w:t>
      </w:r>
      <w:r w:rsidR="00961E8A">
        <w:t>s</w:t>
      </w:r>
      <w:r>
        <w:t>ection 29 of the FMA</w:t>
      </w:r>
      <w:bookmarkEnd w:id="33"/>
      <w:r>
        <w:t xml:space="preserve"> </w:t>
      </w:r>
    </w:p>
    <w:tbl>
      <w:tblPr>
        <w:tblStyle w:val="Mandatory"/>
        <w:tblW w:w="7483" w:type="dxa"/>
        <w:tblLook w:val="0620" w:firstRow="1" w:lastRow="0" w:firstColumn="0" w:lastColumn="0" w:noHBand="1" w:noVBand="1"/>
      </w:tblPr>
      <w:tblGrid>
        <w:gridCol w:w="7483"/>
      </w:tblGrid>
      <w:tr w:rsidR="00373BB7" w:rsidRPr="00373BB7" w14:paraId="38711C5B" w14:textId="77777777" w:rsidTr="005A426D">
        <w:trPr>
          <w:cnfStyle w:val="100000000000" w:firstRow="1" w:lastRow="0" w:firstColumn="0" w:lastColumn="0" w:oddVBand="0" w:evenVBand="0" w:oddHBand="0" w:evenHBand="0" w:firstRowFirstColumn="0" w:firstRowLastColumn="0" w:lastRowFirstColumn="0" w:lastRowLastColumn="0"/>
          <w:trHeight w:val="750"/>
        </w:trPr>
        <w:tc>
          <w:tcPr>
            <w:tcW w:w="7483" w:type="dxa"/>
          </w:tcPr>
          <w:p w14:paraId="00077070" w14:textId="77777777" w:rsidR="00373BB7" w:rsidRPr="00E97BC8" w:rsidRDefault="00373BB7" w:rsidP="00373BB7">
            <w:pPr>
              <w:spacing w:before="120" w:after="60"/>
              <w:rPr>
                <w:sz w:val="20"/>
              </w:rPr>
            </w:pPr>
            <w:r w:rsidRPr="00E97BC8">
              <w:rPr>
                <w:sz w:val="20"/>
              </w:rPr>
              <w:t>Mandatory requirements</w:t>
            </w:r>
            <w:r w:rsidRPr="00E97BC8">
              <w:rPr>
                <w:sz w:val="20"/>
              </w:rPr>
              <w:br/>
              <w:t>SECTION 29 FMA - APPROPRIATION OF CERTAIN REVENUE AND ASSET PROCEEDS</w:t>
            </w:r>
          </w:p>
        </w:tc>
      </w:tr>
      <w:tr w:rsidR="00373BB7" w:rsidRPr="00373BB7" w14:paraId="3260C4B2" w14:textId="77777777" w:rsidTr="00132E13">
        <w:trPr>
          <w:trHeight w:val="318"/>
        </w:trPr>
        <w:tc>
          <w:tcPr>
            <w:tcW w:w="7483" w:type="dxa"/>
          </w:tcPr>
          <w:p w14:paraId="66599437" w14:textId="77777777" w:rsidR="00AE7553" w:rsidRPr="00AE7553" w:rsidRDefault="00AE7553" w:rsidP="003D272A">
            <w:pPr>
              <w:pStyle w:val="Heading3numbered"/>
              <w:numPr>
                <w:ilvl w:val="4"/>
                <w:numId w:val="91"/>
              </w:numPr>
            </w:pPr>
            <w:bookmarkStart w:id="34" w:name="_Toc476658086"/>
            <w:bookmarkStart w:id="35" w:name="_Toc455155219"/>
            <w:r w:rsidRPr="00AE7553">
              <w:t>Commonwealth</w:t>
            </w:r>
            <w:r w:rsidR="00100D4E">
              <w:t xml:space="preserve"> grants provided for specific purposes</w:t>
            </w:r>
            <w:bookmarkEnd w:id="34"/>
          </w:p>
          <w:p w14:paraId="1598028F" w14:textId="5F0A0E36" w:rsidR="00AE7553" w:rsidRPr="00AE7553" w:rsidRDefault="00AE7553" w:rsidP="00DA412B">
            <w:pPr>
              <w:pStyle w:val="Listnumindent"/>
              <w:numPr>
                <w:ilvl w:val="6"/>
                <w:numId w:val="51"/>
              </w:numPr>
            </w:pPr>
            <w:r w:rsidRPr="00AE7553">
              <w:t xml:space="preserve">Payments from the Commonwealth for specific purposes may be accessed through a </w:t>
            </w:r>
            <w:r w:rsidR="00961E8A">
              <w:t>s</w:t>
            </w:r>
            <w:r w:rsidRPr="00AE7553">
              <w:t xml:space="preserve">ection 29 agreement, or by utilising </w:t>
            </w:r>
            <w:r w:rsidR="00961E8A">
              <w:t>s</w:t>
            </w:r>
            <w:r w:rsidRPr="00AE7553">
              <w:t>ection 10 of the FMA. Departments should speak to their DTF contact to discuss these options before submitting a request.</w:t>
            </w:r>
          </w:p>
          <w:p w14:paraId="03A6F61A" w14:textId="1797F305" w:rsidR="00AE7553" w:rsidRDefault="00AE7553" w:rsidP="00DA412B">
            <w:pPr>
              <w:pStyle w:val="Listnumindent"/>
              <w:numPr>
                <w:ilvl w:val="6"/>
                <w:numId w:val="51"/>
              </w:numPr>
            </w:pPr>
            <w:r>
              <w:t xml:space="preserve">For </w:t>
            </w:r>
            <w:r w:rsidRPr="0099161E">
              <w:t>Commonwealth</w:t>
            </w:r>
            <w:r>
              <w:t xml:space="preserve"> </w:t>
            </w:r>
            <w:r w:rsidRPr="0099161E">
              <w:t xml:space="preserve">expenditure </w:t>
            </w:r>
            <w:r>
              <w:t xml:space="preserve">accessed via a </w:t>
            </w:r>
            <w:r w:rsidR="00CA2206">
              <w:t>s</w:t>
            </w:r>
            <w:r>
              <w:t xml:space="preserve">ection 29 agreement, if access to those funds is required </w:t>
            </w:r>
            <w:r w:rsidRPr="0099161E">
              <w:t xml:space="preserve">beyond a financial year, the balance may be made available in the following year (subject to a Department meeting </w:t>
            </w:r>
            <w:r w:rsidR="00537065">
              <w:t>the s</w:t>
            </w:r>
            <w:r w:rsidRPr="0099161E">
              <w:t xml:space="preserve">ection 32 FMA carryover requirements). </w:t>
            </w:r>
          </w:p>
          <w:p w14:paraId="373C083B" w14:textId="0F6C6F1F" w:rsidR="00E3393E" w:rsidRPr="0099161E" w:rsidRDefault="00611E29" w:rsidP="00DA412B">
            <w:pPr>
              <w:pStyle w:val="Listnumindent"/>
              <w:numPr>
                <w:ilvl w:val="6"/>
                <w:numId w:val="51"/>
              </w:numPr>
            </w:pPr>
            <w:r w:rsidRPr="00611E29">
              <w:t>The c</w:t>
            </w:r>
            <w:r w:rsidR="00E3393E" w:rsidRPr="00611E29">
              <w:t>arry</w:t>
            </w:r>
            <w:r w:rsidRPr="00611E29">
              <w:t xml:space="preserve">ing </w:t>
            </w:r>
            <w:r w:rsidR="00E3393E" w:rsidRPr="00611E29">
              <w:t xml:space="preserve">over of a </w:t>
            </w:r>
            <w:r w:rsidR="000D450A">
              <w:t xml:space="preserve">section 32 </w:t>
            </w:r>
            <w:r w:rsidR="00E3393E" w:rsidRPr="00611E29">
              <w:t xml:space="preserve">carryover </w:t>
            </w:r>
            <w:r w:rsidR="000D450A">
              <w:t xml:space="preserve">(i.e. into a second year) </w:t>
            </w:r>
            <w:r w:rsidR="00E3393E" w:rsidRPr="00611E29">
              <w:t>is not permitted</w:t>
            </w:r>
            <w:r w:rsidR="000D450A">
              <w:t xml:space="preserve"> under the FMA</w:t>
            </w:r>
            <w:r w:rsidR="00E3393E" w:rsidRPr="00611E29">
              <w:t>.</w:t>
            </w:r>
            <w:r w:rsidRPr="00611E29">
              <w:t xml:space="preserve"> </w:t>
            </w:r>
            <w:r>
              <w:t>D</w:t>
            </w:r>
            <w:r w:rsidRPr="00611E29">
              <w:t xml:space="preserve">epartments </w:t>
            </w:r>
            <w:r>
              <w:t>must</w:t>
            </w:r>
            <w:r w:rsidRPr="00611E29">
              <w:t xml:space="preserve"> only recognise/claim what they have </w:t>
            </w:r>
            <w:r>
              <w:t>drawn down and spent</w:t>
            </w:r>
            <w:r w:rsidRPr="00611E29">
              <w:t xml:space="preserve"> to th</w:t>
            </w:r>
            <w:r>
              <w:t>is</w:t>
            </w:r>
            <w:r w:rsidRPr="00611E29">
              <w:t xml:space="preserve"> point</w:t>
            </w:r>
            <w:r>
              <w:t xml:space="preserve"> in time</w:t>
            </w:r>
            <w:r w:rsidRPr="00611E29">
              <w:t xml:space="preserve">. </w:t>
            </w:r>
            <w:r w:rsidR="001B7EBC">
              <w:t xml:space="preserve">However, </w:t>
            </w:r>
            <w:r>
              <w:t xml:space="preserve">Departments may apply for access to the remaining funds by submitting a request to the Treasurer or as part of a Budget bid for the relevant Cabinet </w:t>
            </w:r>
            <w:r w:rsidR="00537065">
              <w:t>c</w:t>
            </w:r>
            <w:r>
              <w:t>ommittee to consider.</w:t>
            </w:r>
          </w:p>
          <w:p w14:paraId="15148F89" w14:textId="4DEFAF09" w:rsidR="00AE7553" w:rsidRPr="0099161E" w:rsidRDefault="00AE7553" w:rsidP="00DA412B">
            <w:pPr>
              <w:pStyle w:val="Listnumindent"/>
              <w:numPr>
                <w:ilvl w:val="6"/>
                <w:numId w:val="51"/>
              </w:numPr>
            </w:pPr>
            <w:r w:rsidRPr="0099161E">
              <w:t xml:space="preserve">An application for a special appropriation to access Commonwealth funds under </w:t>
            </w:r>
            <w:r w:rsidR="00537065">
              <w:t>s</w:t>
            </w:r>
            <w:r w:rsidRPr="0099161E">
              <w:t xml:space="preserve">ection 10 of the FMA is </w:t>
            </w:r>
            <w:r>
              <w:t xml:space="preserve">appropriate </w:t>
            </w:r>
            <w:r w:rsidRPr="0099161E">
              <w:t>if one or more of the following conditions apply:</w:t>
            </w:r>
          </w:p>
          <w:p w14:paraId="50D334EA" w14:textId="77777777" w:rsidR="00AE7553" w:rsidRPr="00F236E5" w:rsidRDefault="00A14828" w:rsidP="00AE7553">
            <w:pPr>
              <w:pStyle w:val="Listnumindent2"/>
              <w:numPr>
                <w:ilvl w:val="7"/>
                <w:numId w:val="12"/>
              </w:numPr>
              <w:spacing w:line="276" w:lineRule="auto"/>
            </w:pPr>
            <w:r>
              <w:t>i</w:t>
            </w:r>
            <w:r w:rsidR="00AE7553">
              <w:t>t is a</w:t>
            </w:r>
            <w:r w:rsidR="00AE7553" w:rsidRPr="00F236E5">
              <w:t xml:space="preserve"> new Commonwealth ag</w:t>
            </w:r>
            <w:r>
              <w:t>reement</w:t>
            </w:r>
            <w:r w:rsidR="00AE7553" w:rsidRPr="00F236E5">
              <w:t xml:space="preserve"> established during the year; or</w:t>
            </w:r>
          </w:p>
          <w:p w14:paraId="51A1CD0C" w14:textId="77777777" w:rsidR="00AE7553" w:rsidRDefault="00A14828" w:rsidP="00AE7553">
            <w:pPr>
              <w:pStyle w:val="Listnumindent2"/>
              <w:numPr>
                <w:ilvl w:val="7"/>
                <w:numId w:val="12"/>
              </w:numPr>
              <w:spacing w:line="276" w:lineRule="auto"/>
              <w:ind w:left="1803" w:hanging="505"/>
              <w:contextualSpacing w:val="0"/>
            </w:pPr>
            <w:r>
              <w:t>i</w:t>
            </w:r>
            <w:r w:rsidR="00AE7553" w:rsidRPr="0099161E">
              <w:t>f it is likely that funds will be required to be accessed beyond the next financial year.</w:t>
            </w:r>
          </w:p>
          <w:p w14:paraId="47442F9C" w14:textId="77777777" w:rsidR="00AE7553" w:rsidRDefault="00AE7553" w:rsidP="00AE7553">
            <w:pPr>
              <w:pStyle w:val="Listnumindent"/>
              <w:numPr>
                <w:ilvl w:val="6"/>
                <w:numId w:val="12"/>
              </w:numPr>
              <w:spacing w:line="276" w:lineRule="auto"/>
            </w:pPr>
            <w:r w:rsidRPr="0099161E">
              <w:t>Departments must ensure that funds from the Commonwealth have been deposited with DTF before accessing the appropriation.</w:t>
            </w:r>
          </w:p>
          <w:p w14:paraId="1DE33CE1" w14:textId="493DB093" w:rsidR="00AE7553" w:rsidRDefault="00AE7553" w:rsidP="00AE7553">
            <w:pPr>
              <w:pStyle w:val="Listnumindent"/>
              <w:numPr>
                <w:ilvl w:val="6"/>
                <w:numId w:val="12"/>
              </w:numPr>
            </w:pPr>
            <w:r w:rsidRPr="0099161E">
              <w:t xml:space="preserve">If the output or asset investment is delivered by the State </w:t>
            </w:r>
            <w:r>
              <w:t>for</w:t>
            </w:r>
            <w:r w:rsidRPr="0099161E">
              <w:t xml:space="preserve"> less than the </w:t>
            </w:r>
            <w:r>
              <w:t>funds</w:t>
            </w:r>
            <w:r w:rsidRPr="0099161E">
              <w:t xml:space="preserve"> provided by the Commonwealth, the excess </w:t>
            </w:r>
            <w:r>
              <w:t>funds</w:t>
            </w:r>
            <w:r w:rsidRPr="0099161E">
              <w:t xml:space="preserve"> may only be applied to finance activities that are outlined in each</w:t>
            </w:r>
            <w:r w:rsidR="00593416">
              <w:t xml:space="preserve"> Commonwealth</w:t>
            </w:r>
            <w:r w:rsidRPr="0099161E">
              <w:t xml:space="preserve"> agreement.</w:t>
            </w:r>
            <w:r>
              <w:t xml:space="preserve"> </w:t>
            </w:r>
            <w:r w:rsidRPr="0099161E">
              <w:t>Departments</w:t>
            </w:r>
            <w:r>
              <w:t xml:space="preserve"> are to</w:t>
            </w:r>
            <w:r w:rsidRPr="0099161E">
              <w:t xml:space="preserve"> liaise with the Commonwealth </w:t>
            </w:r>
            <w:r>
              <w:t>on the application of any</w:t>
            </w:r>
            <w:r w:rsidRPr="0099161E">
              <w:t xml:space="preserve"> excess funds</w:t>
            </w:r>
            <w:r>
              <w:t>.</w:t>
            </w:r>
          </w:p>
          <w:p w14:paraId="31A348F9" w14:textId="77777777" w:rsidR="00373BB7" w:rsidRPr="00373BB7" w:rsidRDefault="00373BB7" w:rsidP="00DA412B">
            <w:pPr>
              <w:pStyle w:val="Heading3numbered"/>
            </w:pPr>
            <w:bookmarkStart w:id="36" w:name="_Toc476658087"/>
            <w:r w:rsidRPr="00373BB7">
              <w:t>User charges</w:t>
            </w:r>
            <w:bookmarkEnd w:id="35"/>
            <w:bookmarkEnd w:id="36"/>
          </w:p>
          <w:p w14:paraId="60334C00" w14:textId="3B52C994" w:rsidR="0099161E" w:rsidRPr="0099161E" w:rsidRDefault="0099161E" w:rsidP="00DA412B">
            <w:pPr>
              <w:pStyle w:val="Listnumindent"/>
            </w:pPr>
            <w:r w:rsidRPr="0099161E">
              <w:t xml:space="preserve">A Department wishing to </w:t>
            </w:r>
            <w:r>
              <w:t>establi</w:t>
            </w:r>
            <w:r w:rsidR="000517AB">
              <w:t xml:space="preserve">sh a </w:t>
            </w:r>
            <w:r w:rsidR="00B7408E">
              <w:t>s</w:t>
            </w:r>
            <w:r w:rsidR="000517AB">
              <w:t>ection </w:t>
            </w:r>
            <w:r>
              <w:t>29 a</w:t>
            </w:r>
            <w:r w:rsidR="00CA2206">
              <w:t>greement</w:t>
            </w:r>
            <w:r w:rsidRPr="0099161E">
              <w:t xml:space="preserve"> </w:t>
            </w:r>
            <w:r w:rsidR="00593416">
              <w:t xml:space="preserve">for user charges (fee for service) </w:t>
            </w:r>
            <w:r w:rsidRPr="0099161E">
              <w:t>must lodge a</w:t>
            </w:r>
            <w:r>
              <w:t xml:space="preserve"> request with</w:t>
            </w:r>
            <w:r w:rsidR="000517AB">
              <w:t xml:space="preserve"> DTF</w:t>
            </w:r>
            <w:r w:rsidRPr="0099161E">
              <w:t>.</w:t>
            </w:r>
          </w:p>
          <w:p w14:paraId="699E2CDF" w14:textId="77777777" w:rsidR="005367E0" w:rsidRDefault="000E55BD" w:rsidP="00DA412B">
            <w:pPr>
              <w:pStyle w:val="Listnumindent"/>
            </w:pPr>
            <w:r w:rsidRPr="00373BB7">
              <w:t>Eligible user charge estimates must be agreed with D</w:t>
            </w:r>
            <w:r>
              <w:t>TF on an unchanged policy basis</w:t>
            </w:r>
            <w:r w:rsidR="00DA7648">
              <w:t>,</w:t>
            </w:r>
            <w:r>
              <w:t xml:space="preserve"> i</w:t>
            </w:r>
            <w:r w:rsidR="00DA7648">
              <w:t>.</w:t>
            </w:r>
            <w:r>
              <w:t>e.</w:t>
            </w:r>
            <w:r w:rsidRPr="00373BB7">
              <w:t xml:space="preserve"> each agreement </w:t>
            </w:r>
            <w:r>
              <w:t>shal</w:t>
            </w:r>
            <w:r w:rsidRPr="00373BB7">
              <w:t xml:space="preserve">l be based on the expected level of receipts from the implementation of existing policies at current prices (for guidance on setting prices, refer to the </w:t>
            </w:r>
            <w:r w:rsidRPr="00BA62BD">
              <w:rPr>
                <w:i/>
              </w:rPr>
              <w:t>Cost Recovery Guidelines</w:t>
            </w:r>
            <w:r>
              <w:t>).</w:t>
            </w:r>
          </w:p>
          <w:p w14:paraId="1769013A" w14:textId="1DAA4AF2" w:rsidR="0050396B" w:rsidRPr="000B672C" w:rsidRDefault="00593416" w:rsidP="000B672C">
            <w:pPr>
              <w:pStyle w:val="Listnumindent"/>
            </w:pPr>
            <w:r>
              <w:t>Unless the service is new and unfunded, the agreed estimate will be deducted from the gross appropriation to arrive at a net appropriation to which section 29 ap</w:t>
            </w:r>
            <w:r w:rsidR="000B672C">
              <w:t>plies.</w:t>
            </w:r>
          </w:p>
        </w:tc>
      </w:tr>
      <w:tr w:rsidR="000B672C" w:rsidRPr="00373BB7" w14:paraId="6671F70B" w14:textId="77777777" w:rsidTr="000B672C">
        <w:trPr>
          <w:cantSplit/>
          <w:trHeight w:val="318"/>
        </w:trPr>
        <w:tc>
          <w:tcPr>
            <w:tcW w:w="7483" w:type="dxa"/>
          </w:tcPr>
          <w:p w14:paraId="224EB400" w14:textId="77777777" w:rsidR="000B672C" w:rsidRPr="00373BB7" w:rsidRDefault="000B672C" w:rsidP="000B672C">
            <w:pPr>
              <w:pStyle w:val="Heading3numbered"/>
              <w:keepNext w:val="0"/>
            </w:pPr>
            <w:bookmarkStart w:id="37" w:name="_Toc455155220"/>
            <w:bookmarkStart w:id="38" w:name="_Toc476658088"/>
            <w:r w:rsidRPr="00373BB7">
              <w:lastRenderedPageBreak/>
              <w:t>Asset sales</w:t>
            </w:r>
            <w:bookmarkEnd w:id="37"/>
            <w:bookmarkEnd w:id="38"/>
          </w:p>
          <w:p w14:paraId="405C3765" w14:textId="77777777" w:rsidR="000B672C" w:rsidRPr="0099161E" w:rsidRDefault="000B672C" w:rsidP="000B672C">
            <w:pPr>
              <w:pStyle w:val="Listnumindent"/>
            </w:pPr>
            <w:r w:rsidRPr="0099161E">
              <w:t xml:space="preserve">A Department wishing to retain the proceeds earned </w:t>
            </w:r>
            <w:r>
              <w:t>from</w:t>
            </w:r>
            <w:r w:rsidRPr="0099161E">
              <w:t xml:space="preserve"> disposal of an asset</w:t>
            </w:r>
            <w:r>
              <w:t xml:space="preserve"> or class of assets</w:t>
            </w:r>
            <w:r w:rsidRPr="0099161E">
              <w:t xml:space="preserve"> must lodge a business case </w:t>
            </w:r>
            <w:r>
              <w:t xml:space="preserve">with DTF regarding the disposal, and </w:t>
            </w:r>
            <w:r w:rsidRPr="0099161E">
              <w:t xml:space="preserve">request the </w:t>
            </w:r>
            <w:r>
              <w:t xml:space="preserve">relevant Cabinet committee or </w:t>
            </w:r>
            <w:r w:rsidRPr="0099161E">
              <w:t xml:space="preserve">Treasurer’s approval for </w:t>
            </w:r>
            <w:r>
              <w:t>annotation of</w:t>
            </w:r>
            <w:r w:rsidRPr="0099161E">
              <w:t xml:space="preserve"> </w:t>
            </w:r>
            <w:r>
              <w:t xml:space="preserve">the </w:t>
            </w:r>
            <w:r w:rsidRPr="0099161E">
              <w:t>proceeds</w:t>
            </w:r>
            <w:r>
              <w:t xml:space="preserve"> to their Additions to the Net Asset Base (ATNAB) appropriation</w:t>
            </w:r>
            <w:r w:rsidRPr="0099161E">
              <w:t>.</w:t>
            </w:r>
          </w:p>
          <w:p w14:paraId="2CC5FDE7" w14:textId="77777777" w:rsidR="000B672C" w:rsidRPr="0099161E" w:rsidRDefault="000B672C" w:rsidP="000B672C">
            <w:pPr>
              <w:pStyle w:val="Listnumindent"/>
            </w:pPr>
            <w:r w:rsidRPr="0099161E">
              <w:t xml:space="preserve">The impact on the </w:t>
            </w:r>
            <w:r>
              <w:t>b</w:t>
            </w:r>
            <w:r w:rsidRPr="0099161E">
              <w:t xml:space="preserve">alance </w:t>
            </w:r>
            <w:r>
              <w:t>s</w:t>
            </w:r>
            <w:r w:rsidRPr="0099161E">
              <w:t xml:space="preserve">heet from the asset disposal and revenue retention must be discussed with a relevant DTF officer (before finalisation of the business case). </w:t>
            </w:r>
          </w:p>
          <w:p w14:paraId="5AF0E444" w14:textId="42AA4316" w:rsidR="000B672C" w:rsidRPr="00AE7553" w:rsidRDefault="000B672C" w:rsidP="000B672C">
            <w:pPr>
              <w:pStyle w:val="Listnumindent"/>
            </w:pPr>
            <w:r w:rsidRPr="0099161E">
              <w:t xml:space="preserve">Departments must consider the </w:t>
            </w:r>
            <w:r w:rsidRPr="0099161E">
              <w:rPr>
                <w:i/>
              </w:rPr>
              <w:t>Victorian Government Land Sales Financial Framework</w:t>
            </w:r>
            <w:r w:rsidRPr="0099161E">
              <w:t xml:space="preserve"> </w:t>
            </w:r>
            <w:r>
              <w:t>regarding</w:t>
            </w:r>
            <w:r w:rsidRPr="0099161E">
              <w:t xml:space="preserve"> the retention of receipts from land sales.</w:t>
            </w:r>
          </w:p>
        </w:tc>
      </w:tr>
    </w:tbl>
    <w:p w14:paraId="4566A419" w14:textId="77777777" w:rsidR="00373BB7" w:rsidRPr="00862803" w:rsidRDefault="00373BB7" w:rsidP="000B672C">
      <w:pPr>
        <w:pStyle w:val="Heading2indent"/>
      </w:pPr>
      <w:r w:rsidRPr="00862803">
        <w:t>Guidance</w:t>
      </w:r>
    </w:p>
    <w:p w14:paraId="0DB23F35" w14:textId="1DACA8C1" w:rsidR="0063443B" w:rsidRPr="00373BB7" w:rsidRDefault="00373BB7" w:rsidP="0063443B">
      <w:pPr>
        <w:spacing w:before="100"/>
        <w:ind w:left="792"/>
      </w:pPr>
      <w:r w:rsidRPr="00373BB7">
        <w:rPr>
          <w:lang w:eastAsia="en-US"/>
        </w:rPr>
        <w:t>U</w:t>
      </w:r>
      <w:r w:rsidR="005550D4">
        <w:rPr>
          <w:lang w:eastAsia="en-US"/>
        </w:rPr>
        <w:t>nder normal circumstances</w:t>
      </w:r>
      <w:r w:rsidRPr="00373BB7">
        <w:rPr>
          <w:lang w:eastAsia="en-US"/>
        </w:rPr>
        <w:t>, money received by the State for any purpose must be credited to the Consolidated Fund</w:t>
      </w:r>
      <w:r w:rsidR="00A14828">
        <w:rPr>
          <w:lang w:eastAsia="en-US"/>
        </w:rPr>
        <w:t xml:space="preserve"> (under </w:t>
      </w:r>
      <w:r w:rsidR="00B7408E">
        <w:rPr>
          <w:lang w:eastAsia="en-US"/>
        </w:rPr>
        <w:t>s</w:t>
      </w:r>
      <w:r w:rsidR="00A14828">
        <w:rPr>
          <w:lang w:eastAsia="en-US"/>
        </w:rPr>
        <w:t>ection 9 of the FMA).</w:t>
      </w:r>
      <w:r w:rsidRPr="00373BB7">
        <w:rPr>
          <w:vertAlign w:val="superscript"/>
          <w:lang w:eastAsia="en-US"/>
        </w:rPr>
        <w:footnoteReference w:id="12"/>
      </w:r>
      <w:r w:rsidRPr="00373BB7">
        <w:rPr>
          <w:lang w:eastAsia="en-US"/>
        </w:rPr>
        <w:t xml:space="preserve"> </w:t>
      </w:r>
    </w:p>
    <w:p w14:paraId="0A2F8BDB" w14:textId="456B26E5" w:rsidR="0034149A" w:rsidRDefault="001B7EBC" w:rsidP="0034149A">
      <w:pPr>
        <w:pStyle w:val="NormalIndent"/>
        <w:rPr>
          <w:lang w:eastAsia="en-US"/>
        </w:rPr>
      </w:pPr>
      <w:r>
        <w:rPr>
          <w:lang w:eastAsia="en-US"/>
        </w:rPr>
        <w:t xml:space="preserve">However, </w:t>
      </w:r>
      <w:r w:rsidR="00B7408E">
        <w:rPr>
          <w:lang w:eastAsia="en-US"/>
        </w:rPr>
        <w:t>s</w:t>
      </w:r>
      <w:r w:rsidR="000E517E">
        <w:rPr>
          <w:lang w:eastAsia="en-US"/>
        </w:rPr>
        <w:t xml:space="preserve">ection 29 of the FMA </w:t>
      </w:r>
      <w:r w:rsidR="00373BB7" w:rsidRPr="00373BB7">
        <w:rPr>
          <w:lang w:eastAsia="en-US"/>
        </w:rPr>
        <w:t xml:space="preserve">provides the legislative authority, in conjunction with the Appropriation Act, for </w:t>
      </w:r>
      <w:r w:rsidR="0077474C">
        <w:rPr>
          <w:lang w:eastAsia="en-US"/>
        </w:rPr>
        <w:t xml:space="preserve">amounts received relating to </w:t>
      </w:r>
      <w:r w:rsidR="005550D4">
        <w:rPr>
          <w:lang w:eastAsia="en-US"/>
        </w:rPr>
        <w:t xml:space="preserve">certain receipts / </w:t>
      </w:r>
      <w:r w:rsidR="0077474C">
        <w:rPr>
          <w:lang w:eastAsia="en-US"/>
        </w:rPr>
        <w:t xml:space="preserve">revenue to </w:t>
      </w:r>
      <w:r w:rsidR="005550D4">
        <w:rPr>
          <w:lang w:eastAsia="en-US"/>
        </w:rPr>
        <w:t>be credited or annotated to a</w:t>
      </w:r>
      <w:r w:rsidR="0077474C">
        <w:rPr>
          <w:lang w:eastAsia="en-US"/>
        </w:rPr>
        <w:t xml:space="preserve"> </w:t>
      </w:r>
      <w:r w:rsidR="00B7408E">
        <w:rPr>
          <w:lang w:eastAsia="en-US"/>
        </w:rPr>
        <w:t>d</w:t>
      </w:r>
      <w:r w:rsidR="0077474C">
        <w:rPr>
          <w:lang w:eastAsia="en-US"/>
        </w:rPr>
        <w:t>epartmental appropriation</w:t>
      </w:r>
      <w:r w:rsidR="005550D4">
        <w:rPr>
          <w:lang w:eastAsia="en-US"/>
        </w:rPr>
        <w:t xml:space="preserve"> item</w:t>
      </w:r>
      <w:r w:rsidR="0077474C">
        <w:rPr>
          <w:lang w:eastAsia="en-US"/>
        </w:rPr>
        <w:t>.</w:t>
      </w:r>
      <w:r w:rsidR="0034149A">
        <w:rPr>
          <w:lang w:eastAsia="en-US"/>
        </w:rPr>
        <w:t xml:space="preserve"> </w:t>
      </w:r>
      <w:r w:rsidR="00593416">
        <w:rPr>
          <w:lang w:eastAsia="en-US"/>
        </w:rPr>
        <w:t xml:space="preserve">Section 29 </w:t>
      </w:r>
      <w:r w:rsidR="0034149A">
        <w:rPr>
          <w:lang w:eastAsia="en-US"/>
        </w:rPr>
        <w:t>‘deem</w:t>
      </w:r>
      <w:r w:rsidR="00593416">
        <w:rPr>
          <w:lang w:eastAsia="en-US"/>
        </w:rPr>
        <w:t>s</w:t>
      </w:r>
      <w:r w:rsidR="0034149A">
        <w:rPr>
          <w:lang w:eastAsia="en-US"/>
        </w:rPr>
        <w:t xml:space="preserve">’ </w:t>
      </w:r>
      <w:r w:rsidR="00593416">
        <w:rPr>
          <w:lang w:eastAsia="en-US"/>
        </w:rPr>
        <w:t xml:space="preserve">these amounts </w:t>
      </w:r>
      <w:r w:rsidR="0034149A">
        <w:rPr>
          <w:lang w:eastAsia="en-US"/>
        </w:rPr>
        <w:t xml:space="preserve">to be appropriated for the purposes of those items. </w:t>
      </w:r>
    </w:p>
    <w:p w14:paraId="5D14FB7E" w14:textId="72D84D08" w:rsidR="0034149A" w:rsidRDefault="0034149A" w:rsidP="0034149A">
      <w:pPr>
        <w:pStyle w:val="NormalIndent"/>
        <w:rPr>
          <w:lang w:eastAsia="en-US"/>
        </w:rPr>
      </w:pPr>
      <w:r>
        <w:rPr>
          <w:lang w:eastAsia="en-US"/>
        </w:rPr>
        <w:t xml:space="preserve">Access to these amounts are subject to a </w:t>
      </w:r>
      <w:r w:rsidR="00B7408E">
        <w:rPr>
          <w:lang w:eastAsia="en-US"/>
        </w:rPr>
        <w:t>s</w:t>
      </w:r>
      <w:r w:rsidRPr="00373BB7">
        <w:rPr>
          <w:lang w:eastAsia="en-US"/>
        </w:rPr>
        <w:t xml:space="preserve">ection 29 </w:t>
      </w:r>
      <w:r w:rsidR="00B7408E">
        <w:rPr>
          <w:lang w:eastAsia="en-US"/>
        </w:rPr>
        <w:t>a</w:t>
      </w:r>
      <w:r w:rsidR="00A14828">
        <w:rPr>
          <w:lang w:eastAsia="en-US"/>
        </w:rPr>
        <w:t>greement between the relevant M</w:t>
      </w:r>
      <w:r>
        <w:rPr>
          <w:lang w:eastAsia="en-US"/>
        </w:rPr>
        <w:t>inister making the request, and the Treasurer.</w:t>
      </w:r>
    </w:p>
    <w:p w14:paraId="0900EDB0" w14:textId="57FDBC6C" w:rsidR="0034149A" w:rsidRPr="00373BB7" w:rsidRDefault="00CB762E" w:rsidP="0034149A">
      <w:pPr>
        <w:pStyle w:val="NormalIndent"/>
      </w:pPr>
      <w:r>
        <w:rPr>
          <w:lang w:eastAsia="en-US"/>
        </w:rPr>
        <w:t xml:space="preserve">The types of revenue (receipts) that may be considered in a </w:t>
      </w:r>
      <w:r w:rsidR="00B7408E">
        <w:rPr>
          <w:lang w:eastAsia="en-US"/>
        </w:rPr>
        <w:t>s</w:t>
      </w:r>
      <w:r>
        <w:rPr>
          <w:lang w:eastAsia="en-US"/>
        </w:rPr>
        <w:t xml:space="preserve">ection 29 </w:t>
      </w:r>
      <w:r w:rsidR="00B7408E">
        <w:rPr>
          <w:lang w:eastAsia="en-US"/>
        </w:rPr>
        <w:t>a</w:t>
      </w:r>
      <w:r>
        <w:rPr>
          <w:lang w:eastAsia="en-US"/>
        </w:rPr>
        <w:t>greement are:</w:t>
      </w:r>
    </w:p>
    <w:p w14:paraId="03AB3569" w14:textId="77777777" w:rsidR="0034149A" w:rsidRDefault="0034149A" w:rsidP="000B672C">
      <w:pPr>
        <w:pStyle w:val="Bulletindent"/>
        <w:rPr>
          <w:lang w:eastAsia="en-US"/>
        </w:rPr>
      </w:pPr>
      <w:r>
        <w:rPr>
          <w:lang w:eastAsia="en-US"/>
        </w:rPr>
        <w:t>Commonwealth specific purpose grant revenue;</w:t>
      </w:r>
    </w:p>
    <w:p w14:paraId="5A2CA0A9" w14:textId="77777777" w:rsidR="0034149A" w:rsidRDefault="00A14828" w:rsidP="000B672C">
      <w:pPr>
        <w:pStyle w:val="Bulletindent"/>
        <w:rPr>
          <w:lang w:eastAsia="en-US"/>
        </w:rPr>
      </w:pPr>
      <w:r>
        <w:rPr>
          <w:lang w:eastAsia="en-US"/>
        </w:rPr>
        <w:t>sp</w:t>
      </w:r>
      <w:r w:rsidR="0034149A">
        <w:rPr>
          <w:lang w:eastAsia="en-US"/>
        </w:rPr>
        <w:t>ecific purpose revenue from Municipal Councils;</w:t>
      </w:r>
    </w:p>
    <w:p w14:paraId="7D1C50FA" w14:textId="771B68ED" w:rsidR="0034149A" w:rsidRDefault="0034149A" w:rsidP="000B672C">
      <w:pPr>
        <w:pStyle w:val="Bulletindent"/>
        <w:rPr>
          <w:lang w:eastAsia="en-US"/>
        </w:rPr>
      </w:pPr>
      <w:r>
        <w:rPr>
          <w:lang w:eastAsia="en-US"/>
        </w:rPr>
        <w:t>revenue from outputs (</w:t>
      </w:r>
      <w:r w:rsidR="00CB762E">
        <w:rPr>
          <w:lang w:eastAsia="en-US"/>
        </w:rPr>
        <w:t xml:space="preserve">relating to </w:t>
      </w:r>
      <w:r>
        <w:rPr>
          <w:lang w:eastAsia="en-US"/>
        </w:rPr>
        <w:t>user charges</w:t>
      </w:r>
      <w:r w:rsidR="00B8571B">
        <w:rPr>
          <w:lang w:eastAsia="en-US"/>
        </w:rPr>
        <w:t xml:space="preserve"> but excluding regulatory fees</w:t>
      </w:r>
      <w:r>
        <w:rPr>
          <w:lang w:eastAsia="en-US"/>
        </w:rPr>
        <w:t>);</w:t>
      </w:r>
      <w:r w:rsidR="00CB762E">
        <w:rPr>
          <w:lang w:eastAsia="en-US"/>
        </w:rPr>
        <w:t xml:space="preserve"> and</w:t>
      </w:r>
    </w:p>
    <w:p w14:paraId="425B8201" w14:textId="77777777" w:rsidR="0034149A" w:rsidRDefault="0034149A" w:rsidP="000B672C">
      <w:pPr>
        <w:pStyle w:val="Bulletindent"/>
        <w:rPr>
          <w:lang w:eastAsia="en-US"/>
        </w:rPr>
      </w:pPr>
      <w:r w:rsidRPr="00CB762E">
        <w:rPr>
          <w:i/>
          <w:lang w:eastAsia="en-US"/>
        </w:rPr>
        <w:t>receipts</w:t>
      </w:r>
      <w:r>
        <w:rPr>
          <w:lang w:eastAsia="en-US"/>
        </w:rPr>
        <w:t xml:space="preserve"> from asset sales</w:t>
      </w:r>
      <w:r w:rsidR="004961FD">
        <w:rPr>
          <w:lang w:eastAsia="en-US"/>
        </w:rPr>
        <w:t>.</w:t>
      </w:r>
    </w:p>
    <w:p w14:paraId="4B972B84" w14:textId="76299B34" w:rsidR="00373BB7" w:rsidRPr="00373BB7" w:rsidRDefault="005550D4" w:rsidP="000B672C">
      <w:pPr>
        <w:pStyle w:val="Heading3indent"/>
      </w:pPr>
      <w:r>
        <w:t>E</w:t>
      </w:r>
      <w:r w:rsidR="00373BB7" w:rsidRPr="00373BB7">
        <w:t xml:space="preserve">stablishment of </w:t>
      </w:r>
      <w:r w:rsidR="00B7408E">
        <w:t>s</w:t>
      </w:r>
      <w:r w:rsidR="00373BB7" w:rsidRPr="00373BB7">
        <w:t xml:space="preserve">ection 29 </w:t>
      </w:r>
      <w:r w:rsidR="00B7408E">
        <w:t>a</w:t>
      </w:r>
      <w:r w:rsidR="00413BFC">
        <w:t>greements</w:t>
      </w:r>
    </w:p>
    <w:p w14:paraId="016D47EA" w14:textId="29C5E8E2" w:rsidR="00373BB7" w:rsidRPr="00373BB7" w:rsidRDefault="00373BB7" w:rsidP="00373BB7">
      <w:pPr>
        <w:spacing w:line="252" w:lineRule="auto"/>
        <w:ind w:left="792"/>
        <w:rPr>
          <w:lang w:eastAsia="en-US"/>
        </w:rPr>
      </w:pPr>
      <w:r w:rsidRPr="00373BB7">
        <w:rPr>
          <w:lang w:eastAsia="en-US"/>
        </w:rPr>
        <w:t xml:space="preserve">The following </w:t>
      </w:r>
      <w:r w:rsidR="00A4263C">
        <w:rPr>
          <w:lang w:eastAsia="en-US"/>
        </w:rPr>
        <w:t>steps should be followed</w:t>
      </w:r>
      <w:r w:rsidR="00E57A58">
        <w:rPr>
          <w:lang w:eastAsia="en-US"/>
        </w:rPr>
        <w:t xml:space="preserve"> </w:t>
      </w:r>
      <w:r w:rsidRPr="00373BB7">
        <w:rPr>
          <w:lang w:eastAsia="en-US"/>
        </w:rPr>
        <w:t xml:space="preserve">in developing </w:t>
      </w:r>
      <w:r w:rsidR="00B7408E">
        <w:rPr>
          <w:lang w:eastAsia="en-US"/>
        </w:rPr>
        <w:t>s</w:t>
      </w:r>
      <w:r w:rsidRPr="00373BB7">
        <w:rPr>
          <w:lang w:eastAsia="en-US"/>
        </w:rPr>
        <w:t xml:space="preserve">ection 29 </w:t>
      </w:r>
      <w:r w:rsidR="00B7408E">
        <w:rPr>
          <w:lang w:eastAsia="en-US"/>
        </w:rPr>
        <w:t>a</w:t>
      </w:r>
      <w:r w:rsidRPr="00373BB7">
        <w:rPr>
          <w:lang w:eastAsia="en-US"/>
        </w:rPr>
        <w:t>greements:</w:t>
      </w:r>
    </w:p>
    <w:p w14:paraId="586C9121" w14:textId="77777777" w:rsidR="003479EF" w:rsidRPr="00BE5770" w:rsidRDefault="00373BB7" w:rsidP="00B47296">
      <w:pPr>
        <w:pStyle w:val="Bulletindent"/>
        <w:rPr>
          <w:lang w:eastAsia="en-US"/>
        </w:rPr>
      </w:pPr>
      <w:r w:rsidRPr="00E57A58">
        <w:rPr>
          <w:lang w:eastAsia="en-US"/>
        </w:rPr>
        <w:t xml:space="preserve">Departments are to </w:t>
      </w:r>
      <w:r w:rsidR="00E57A58" w:rsidRPr="00E57A58">
        <w:rPr>
          <w:lang w:eastAsia="en-US"/>
        </w:rPr>
        <w:t>advise</w:t>
      </w:r>
      <w:r w:rsidRPr="00E57A58">
        <w:rPr>
          <w:lang w:eastAsia="en-US"/>
        </w:rPr>
        <w:t xml:space="preserve"> DTF </w:t>
      </w:r>
      <w:r w:rsidR="00A14828">
        <w:rPr>
          <w:lang w:eastAsia="en-US"/>
        </w:rPr>
        <w:t xml:space="preserve">in writing </w:t>
      </w:r>
      <w:r w:rsidR="00E57A58" w:rsidRPr="00E57A58">
        <w:rPr>
          <w:lang w:eastAsia="en-US"/>
        </w:rPr>
        <w:t xml:space="preserve">of </w:t>
      </w:r>
      <w:r w:rsidR="008757AF" w:rsidRPr="00373BB7">
        <w:rPr>
          <w:lang w:eastAsia="en-US"/>
        </w:rPr>
        <w:t xml:space="preserve">the amount and nature of the revenue </w:t>
      </w:r>
      <w:r w:rsidR="008757AF">
        <w:rPr>
          <w:lang w:eastAsia="en-US"/>
        </w:rPr>
        <w:t xml:space="preserve">they wish </w:t>
      </w:r>
      <w:r w:rsidR="008757AF" w:rsidRPr="00373BB7">
        <w:rPr>
          <w:lang w:eastAsia="en-US"/>
        </w:rPr>
        <w:t>to be annotated to</w:t>
      </w:r>
      <w:r w:rsidR="008757AF">
        <w:rPr>
          <w:lang w:eastAsia="en-US"/>
        </w:rPr>
        <w:t xml:space="preserve"> the Department’s appropriation, and </w:t>
      </w:r>
      <w:r w:rsidR="00A14828">
        <w:rPr>
          <w:lang w:eastAsia="en-US"/>
        </w:rPr>
        <w:t>complete</w:t>
      </w:r>
      <w:r w:rsidRPr="00E57A58">
        <w:rPr>
          <w:lang w:eastAsia="en-US"/>
        </w:rPr>
        <w:t xml:space="preserve"> a </w:t>
      </w:r>
      <w:r w:rsidR="00215700">
        <w:rPr>
          <w:lang w:eastAsia="en-US"/>
        </w:rPr>
        <w:t>schedule list</w:t>
      </w:r>
      <w:r w:rsidR="001B7EBC">
        <w:rPr>
          <w:lang w:eastAsia="en-US"/>
        </w:rPr>
        <w:t>ing</w:t>
      </w:r>
      <w:r w:rsidR="00215700">
        <w:rPr>
          <w:lang w:eastAsia="en-US"/>
        </w:rPr>
        <w:t xml:space="preserve"> each revenue item for inclusion in the agreement to support the request.</w:t>
      </w:r>
      <w:r w:rsidR="00BE5770">
        <w:rPr>
          <w:lang w:eastAsia="en-US"/>
        </w:rPr>
        <w:t xml:space="preserve"> This schedule </w:t>
      </w:r>
      <w:r w:rsidR="00100D4E" w:rsidRPr="00BE5770">
        <w:rPr>
          <w:lang w:eastAsia="en-US"/>
        </w:rPr>
        <w:t>comprises three columns</w:t>
      </w:r>
      <w:r w:rsidR="00BE5770">
        <w:rPr>
          <w:lang w:eastAsia="en-US"/>
        </w:rPr>
        <w:t>:</w:t>
      </w:r>
    </w:p>
    <w:p w14:paraId="580896E0" w14:textId="52639274" w:rsidR="00100D4E" w:rsidRDefault="00CC37A7" w:rsidP="00B47296">
      <w:pPr>
        <w:pStyle w:val="Numparaindent"/>
        <w:tabs>
          <w:tab w:val="clear" w:pos="1296"/>
          <w:tab w:val="num" w:pos="1656"/>
        </w:tabs>
        <w:ind w:left="1656"/>
        <w:rPr>
          <w:rFonts w:eastAsia="Times New Roman"/>
          <w:lang w:eastAsia="en-US"/>
        </w:rPr>
      </w:pPr>
      <w:r>
        <w:rPr>
          <w:rFonts w:eastAsia="Times New Roman"/>
          <w:lang w:eastAsia="en-US"/>
        </w:rPr>
        <w:t>t</w:t>
      </w:r>
      <w:r w:rsidR="00100D4E">
        <w:rPr>
          <w:rFonts w:eastAsia="Times New Roman"/>
          <w:lang w:eastAsia="en-US"/>
        </w:rPr>
        <w:t xml:space="preserve">he previous year’s </w:t>
      </w:r>
      <w:r w:rsidR="00100D4E" w:rsidRPr="008B0CC7">
        <w:rPr>
          <w:rFonts w:eastAsia="Times New Roman"/>
          <w:b/>
          <w:lang w:eastAsia="en-US"/>
        </w:rPr>
        <w:t>Revised Revenue Estimate</w:t>
      </w:r>
      <w:r w:rsidR="00100D4E">
        <w:rPr>
          <w:rFonts w:eastAsia="Times New Roman"/>
          <w:lang w:eastAsia="en-US"/>
        </w:rPr>
        <w:t xml:space="preserve"> amount – </w:t>
      </w:r>
      <w:r w:rsidR="00B7408E">
        <w:rPr>
          <w:rFonts w:eastAsia="Times New Roman"/>
          <w:lang w:eastAsia="en-US"/>
        </w:rPr>
        <w:t>t</w:t>
      </w:r>
      <w:r w:rsidR="00100D4E">
        <w:rPr>
          <w:rFonts w:eastAsia="Times New Roman"/>
          <w:lang w:eastAsia="en-US"/>
        </w:rPr>
        <w:t xml:space="preserve">his is the outturn estimate, or </w:t>
      </w:r>
      <w:r w:rsidR="006D33F3">
        <w:rPr>
          <w:rFonts w:eastAsia="Times New Roman"/>
          <w:lang w:eastAsia="en-US"/>
        </w:rPr>
        <w:t xml:space="preserve">total </w:t>
      </w:r>
      <w:r w:rsidR="00100D4E">
        <w:rPr>
          <w:rFonts w:eastAsia="Times New Roman"/>
          <w:lang w:eastAsia="en-US"/>
        </w:rPr>
        <w:t>actual revenue (if known) for the revenue item</w:t>
      </w:r>
      <w:r>
        <w:rPr>
          <w:rFonts w:eastAsia="Times New Roman"/>
          <w:lang w:eastAsia="en-US"/>
        </w:rPr>
        <w:t>;</w:t>
      </w:r>
    </w:p>
    <w:p w14:paraId="5C90E64A" w14:textId="16E11214" w:rsidR="003479EF" w:rsidRDefault="00CC37A7" w:rsidP="00B47296">
      <w:pPr>
        <w:pStyle w:val="Numparaindent"/>
        <w:tabs>
          <w:tab w:val="clear" w:pos="1296"/>
          <w:tab w:val="num" w:pos="1656"/>
        </w:tabs>
        <w:ind w:left="1656"/>
        <w:rPr>
          <w:rFonts w:eastAsia="Times New Roman"/>
          <w:lang w:eastAsia="en-US"/>
        </w:rPr>
      </w:pPr>
      <w:r>
        <w:rPr>
          <w:rFonts w:eastAsia="Times New Roman"/>
          <w:lang w:eastAsia="en-US"/>
        </w:rPr>
        <w:t>t</w:t>
      </w:r>
      <w:r w:rsidR="003479EF">
        <w:rPr>
          <w:rFonts w:eastAsia="Times New Roman"/>
          <w:lang w:eastAsia="en-US"/>
        </w:rPr>
        <w:t xml:space="preserve">he </w:t>
      </w:r>
      <w:r w:rsidR="003479EF" w:rsidRPr="003479EF">
        <w:rPr>
          <w:rFonts w:eastAsia="Times New Roman"/>
          <w:b/>
          <w:lang w:eastAsia="en-US"/>
        </w:rPr>
        <w:t>Agreed Revenue Base</w:t>
      </w:r>
      <w:r w:rsidR="003479EF">
        <w:rPr>
          <w:rFonts w:eastAsia="Times New Roman"/>
          <w:lang w:eastAsia="en-US"/>
        </w:rPr>
        <w:t xml:space="preserve"> </w:t>
      </w:r>
      <w:r w:rsidR="00215700">
        <w:rPr>
          <w:rFonts w:eastAsia="Times New Roman"/>
          <w:lang w:eastAsia="en-US"/>
        </w:rPr>
        <w:t>amount</w:t>
      </w:r>
      <w:r w:rsidR="003479EF">
        <w:rPr>
          <w:rFonts w:eastAsia="Times New Roman"/>
          <w:lang w:eastAsia="en-US"/>
        </w:rPr>
        <w:t xml:space="preserve"> –</w:t>
      </w:r>
      <w:r w:rsidR="00215700">
        <w:rPr>
          <w:rFonts w:eastAsia="Times New Roman"/>
          <w:lang w:eastAsia="en-US"/>
        </w:rPr>
        <w:t xml:space="preserve"> </w:t>
      </w:r>
      <w:r w:rsidR="00B7408E">
        <w:rPr>
          <w:rFonts w:eastAsia="Times New Roman"/>
          <w:lang w:eastAsia="en-US"/>
        </w:rPr>
        <w:t>t</w:t>
      </w:r>
      <w:r w:rsidR="00215700">
        <w:rPr>
          <w:rFonts w:eastAsia="Times New Roman"/>
          <w:lang w:eastAsia="en-US"/>
        </w:rPr>
        <w:t xml:space="preserve">his is </w:t>
      </w:r>
      <w:r w:rsidR="003479EF" w:rsidRPr="003479EF">
        <w:rPr>
          <w:rFonts w:eastAsia="Times New Roman"/>
          <w:lang w:eastAsia="en-US"/>
        </w:rPr>
        <w:t xml:space="preserve">the amount </w:t>
      </w:r>
      <w:r w:rsidR="00215700">
        <w:rPr>
          <w:rFonts w:eastAsia="Times New Roman"/>
          <w:lang w:eastAsia="en-US"/>
        </w:rPr>
        <w:t>(</w:t>
      </w:r>
      <w:r w:rsidR="003479EF" w:rsidRPr="003479EF">
        <w:rPr>
          <w:rFonts w:eastAsia="Times New Roman"/>
          <w:lang w:eastAsia="en-US"/>
        </w:rPr>
        <w:t>agreed between the relevant Minister and the Treasurer</w:t>
      </w:r>
      <w:r w:rsidR="00215700">
        <w:rPr>
          <w:rFonts w:eastAsia="Times New Roman"/>
          <w:lang w:eastAsia="en-US"/>
        </w:rPr>
        <w:t>)</w:t>
      </w:r>
      <w:r w:rsidR="003479EF" w:rsidRPr="003479EF">
        <w:rPr>
          <w:rFonts w:eastAsia="Times New Roman"/>
          <w:lang w:eastAsia="en-US"/>
        </w:rPr>
        <w:t xml:space="preserve"> </w:t>
      </w:r>
      <w:r w:rsidR="00B7408E">
        <w:rPr>
          <w:rFonts w:eastAsia="Times New Roman"/>
          <w:lang w:eastAsia="en-US"/>
        </w:rPr>
        <w:t xml:space="preserve">that </w:t>
      </w:r>
      <w:r w:rsidR="003479EF" w:rsidRPr="003479EF">
        <w:rPr>
          <w:rFonts w:eastAsia="Times New Roman"/>
          <w:lang w:eastAsia="en-US"/>
        </w:rPr>
        <w:t xml:space="preserve">would be reinstated to </w:t>
      </w:r>
      <w:r w:rsidR="00215700">
        <w:rPr>
          <w:rFonts w:eastAsia="Times New Roman"/>
          <w:lang w:eastAsia="en-US"/>
        </w:rPr>
        <w:t>a Department’s</w:t>
      </w:r>
      <w:r w:rsidR="003479EF" w:rsidRPr="003479EF">
        <w:rPr>
          <w:rFonts w:eastAsia="Times New Roman"/>
          <w:lang w:eastAsia="en-US"/>
        </w:rPr>
        <w:t xml:space="preserve"> base appropriation if the </w:t>
      </w:r>
      <w:r w:rsidR="00B7408E">
        <w:rPr>
          <w:rFonts w:eastAsia="Times New Roman"/>
          <w:lang w:eastAsia="en-US"/>
        </w:rPr>
        <w:t>s</w:t>
      </w:r>
      <w:r w:rsidR="003479EF" w:rsidRPr="003479EF">
        <w:rPr>
          <w:rFonts w:eastAsia="Times New Roman"/>
          <w:lang w:eastAsia="en-US"/>
        </w:rPr>
        <w:t xml:space="preserve">ection 29 arrangement </w:t>
      </w:r>
      <w:r w:rsidR="003479EF">
        <w:rPr>
          <w:rFonts w:eastAsia="Times New Roman"/>
          <w:lang w:eastAsia="en-US"/>
        </w:rPr>
        <w:t>was terminated at a later date (i</w:t>
      </w:r>
      <w:r w:rsidR="00A14828">
        <w:rPr>
          <w:rFonts w:eastAsia="Times New Roman"/>
          <w:lang w:eastAsia="en-US"/>
        </w:rPr>
        <w:t>.</w:t>
      </w:r>
      <w:r w:rsidR="003479EF">
        <w:rPr>
          <w:rFonts w:eastAsia="Times New Roman"/>
          <w:lang w:eastAsia="en-US"/>
        </w:rPr>
        <w:t>e. the ‘unchanged policy base’ amount)</w:t>
      </w:r>
      <w:r>
        <w:rPr>
          <w:rFonts w:eastAsia="Times New Roman"/>
          <w:lang w:eastAsia="en-US"/>
        </w:rPr>
        <w:t>; and</w:t>
      </w:r>
      <w:r w:rsidR="003479EF" w:rsidRPr="003479EF">
        <w:rPr>
          <w:rFonts w:eastAsia="Times New Roman"/>
          <w:lang w:eastAsia="en-US"/>
        </w:rPr>
        <w:t xml:space="preserve"> </w:t>
      </w:r>
    </w:p>
    <w:p w14:paraId="3DDF99B2" w14:textId="53109948" w:rsidR="003479EF" w:rsidRPr="00215700" w:rsidRDefault="00CC37A7" w:rsidP="00B47296">
      <w:pPr>
        <w:pStyle w:val="Numparaindent"/>
        <w:tabs>
          <w:tab w:val="clear" w:pos="1296"/>
          <w:tab w:val="num" w:pos="1656"/>
        </w:tabs>
        <w:ind w:left="1656"/>
        <w:rPr>
          <w:rFonts w:eastAsia="Times New Roman"/>
          <w:lang w:eastAsia="en-US"/>
        </w:rPr>
      </w:pPr>
      <w:r>
        <w:rPr>
          <w:rFonts w:eastAsia="Times New Roman"/>
          <w:lang w:eastAsia="en-US"/>
        </w:rPr>
        <w:lastRenderedPageBreak/>
        <w:t>t</w:t>
      </w:r>
      <w:r w:rsidR="00215700">
        <w:rPr>
          <w:rFonts w:eastAsia="Times New Roman"/>
          <w:lang w:eastAsia="en-US"/>
        </w:rPr>
        <w:t xml:space="preserve">he </w:t>
      </w:r>
      <w:r w:rsidR="00215700" w:rsidRPr="00215700">
        <w:rPr>
          <w:rFonts w:eastAsia="Times New Roman"/>
          <w:b/>
          <w:lang w:eastAsia="en-US"/>
        </w:rPr>
        <w:t>Agreed Revenue Estimate</w:t>
      </w:r>
      <w:r w:rsidR="00215700">
        <w:rPr>
          <w:rFonts w:eastAsia="Times New Roman"/>
          <w:lang w:eastAsia="en-US"/>
        </w:rPr>
        <w:t xml:space="preserve"> amount – </w:t>
      </w:r>
      <w:r w:rsidR="00B7408E">
        <w:rPr>
          <w:rFonts w:eastAsia="Times New Roman"/>
          <w:lang w:eastAsia="en-US"/>
        </w:rPr>
        <w:t>t</w:t>
      </w:r>
      <w:r w:rsidR="00215700">
        <w:rPr>
          <w:rFonts w:eastAsia="Times New Roman"/>
          <w:lang w:eastAsia="en-US"/>
        </w:rPr>
        <w:t xml:space="preserve">his is the total amount estimated to be received under the </w:t>
      </w:r>
      <w:r w:rsidR="00B7408E">
        <w:rPr>
          <w:rFonts w:eastAsia="Times New Roman"/>
          <w:lang w:eastAsia="en-US"/>
        </w:rPr>
        <w:t>a</w:t>
      </w:r>
      <w:r w:rsidR="00215700">
        <w:rPr>
          <w:rFonts w:eastAsia="Times New Roman"/>
          <w:lang w:eastAsia="en-US"/>
        </w:rPr>
        <w:t xml:space="preserve">greement in the given financial year. </w:t>
      </w:r>
      <w:r w:rsidR="003479EF" w:rsidRPr="00215700">
        <w:rPr>
          <w:rFonts w:eastAsia="Times New Roman"/>
          <w:lang w:eastAsia="en-US"/>
        </w:rPr>
        <w:t xml:space="preserve">This amount should be </w:t>
      </w:r>
      <w:r w:rsidR="00215700">
        <w:rPr>
          <w:rFonts w:eastAsia="Times New Roman"/>
          <w:lang w:eastAsia="en-US"/>
        </w:rPr>
        <w:t xml:space="preserve">reviewed and </w:t>
      </w:r>
      <w:r w:rsidR="003479EF" w:rsidRPr="00215700">
        <w:rPr>
          <w:rFonts w:eastAsia="Times New Roman"/>
          <w:lang w:eastAsia="en-US"/>
        </w:rPr>
        <w:t xml:space="preserve">agreed each year as part of each </w:t>
      </w:r>
      <w:r w:rsidR="00B7408E">
        <w:rPr>
          <w:rFonts w:eastAsia="Times New Roman"/>
          <w:lang w:eastAsia="en-US"/>
        </w:rPr>
        <w:t>s</w:t>
      </w:r>
      <w:r w:rsidR="003479EF" w:rsidRPr="00215700">
        <w:rPr>
          <w:rFonts w:eastAsia="Times New Roman"/>
          <w:lang w:eastAsia="en-US"/>
        </w:rPr>
        <w:t xml:space="preserve">ection 29 </w:t>
      </w:r>
      <w:r>
        <w:rPr>
          <w:rFonts w:eastAsia="Times New Roman"/>
          <w:lang w:eastAsia="en-US"/>
        </w:rPr>
        <w:t>a</w:t>
      </w:r>
      <w:r w:rsidR="003479EF" w:rsidRPr="00215700">
        <w:rPr>
          <w:rFonts w:eastAsia="Times New Roman"/>
          <w:lang w:eastAsia="en-US"/>
        </w:rPr>
        <w:t>greement.</w:t>
      </w:r>
    </w:p>
    <w:p w14:paraId="46182252" w14:textId="77777777" w:rsidR="00E57A58" w:rsidRPr="00E57A58" w:rsidRDefault="00373BB7" w:rsidP="00B47296">
      <w:pPr>
        <w:pStyle w:val="Bulletindent"/>
        <w:rPr>
          <w:lang w:eastAsia="en-US"/>
        </w:rPr>
      </w:pPr>
      <w:r w:rsidRPr="00373BB7">
        <w:rPr>
          <w:lang w:eastAsia="en-US"/>
        </w:rPr>
        <w:t xml:space="preserve">The relevant Minister then </w:t>
      </w:r>
      <w:r w:rsidR="00215700">
        <w:rPr>
          <w:lang w:eastAsia="en-US"/>
        </w:rPr>
        <w:t>submits a formal request</w:t>
      </w:r>
      <w:r w:rsidRPr="00373BB7">
        <w:rPr>
          <w:lang w:eastAsia="en-US"/>
        </w:rPr>
        <w:t xml:space="preserve"> to the </w:t>
      </w:r>
      <w:r w:rsidR="00BE5770">
        <w:rPr>
          <w:lang w:eastAsia="en-US"/>
        </w:rPr>
        <w:t>Treasurer seeking his agreement.</w:t>
      </w:r>
    </w:p>
    <w:p w14:paraId="26E989C5" w14:textId="684C1A70" w:rsidR="00E57A58" w:rsidRPr="00E57A58" w:rsidRDefault="0063443B" w:rsidP="00B47296">
      <w:pPr>
        <w:pStyle w:val="Bulletindent"/>
        <w:rPr>
          <w:lang w:eastAsia="en-US"/>
        </w:rPr>
      </w:pPr>
      <w:r w:rsidRPr="00BA62BD">
        <w:t xml:space="preserve">The Treasurer </w:t>
      </w:r>
      <w:r>
        <w:t xml:space="preserve">may </w:t>
      </w:r>
      <w:r w:rsidR="00E57A58">
        <w:t xml:space="preserve">then choose to </w:t>
      </w:r>
      <w:r w:rsidRPr="00BA62BD">
        <w:t xml:space="preserve">approve </w:t>
      </w:r>
      <w:r w:rsidR="00E57A58">
        <w:t xml:space="preserve">(or not approve) </w:t>
      </w:r>
      <w:r w:rsidRPr="00BA62BD">
        <w:t xml:space="preserve">each revenue item proposed for inclusion in a </w:t>
      </w:r>
      <w:r w:rsidR="00B7408E">
        <w:t>s</w:t>
      </w:r>
      <w:r w:rsidRPr="00BA62BD">
        <w:t xml:space="preserve">ection 29 </w:t>
      </w:r>
      <w:r w:rsidR="00B7408E">
        <w:t>a</w:t>
      </w:r>
      <w:r w:rsidRPr="00BA62BD">
        <w:t>greement</w:t>
      </w:r>
      <w:r w:rsidRPr="00373BB7">
        <w:t>.</w:t>
      </w:r>
      <w:r w:rsidR="00E57A58" w:rsidRPr="00E57A58">
        <w:rPr>
          <w:lang w:eastAsia="en-US"/>
        </w:rPr>
        <w:t xml:space="preserve"> </w:t>
      </w:r>
    </w:p>
    <w:p w14:paraId="68570635" w14:textId="55BD9B60" w:rsidR="00413BFC" w:rsidRPr="00373BB7" w:rsidRDefault="00E57A58" w:rsidP="00413BFC">
      <w:pPr>
        <w:spacing w:line="252" w:lineRule="auto"/>
        <w:ind w:left="792"/>
        <w:rPr>
          <w:lang w:eastAsia="en-US"/>
        </w:rPr>
      </w:pPr>
      <w:r>
        <w:rPr>
          <w:lang w:eastAsia="en-US"/>
        </w:rPr>
        <w:t xml:space="preserve">Other things to note about </w:t>
      </w:r>
      <w:r w:rsidR="00B7408E">
        <w:rPr>
          <w:lang w:eastAsia="en-US"/>
        </w:rPr>
        <w:t>s</w:t>
      </w:r>
      <w:r w:rsidR="00413BFC" w:rsidRPr="00373BB7">
        <w:rPr>
          <w:lang w:eastAsia="en-US"/>
        </w:rPr>
        <w:t xml:space="preserve">ection 29 </w:t>
      </w:r>
      <w:r w:rsidR="00B7408E">
        <w:rPr>
          <w:lang w:eastAsia="en-US"/>
        </w:rPr>
        <w:t>a</w:t>
      </w:r>
      <w:r w:rsidR="00413BFC">
        <w:rPr>
          <w:lang w:eastAsia="en-US"/>
        </w:rPr>
        <w:t>greements</w:t>
      </w:r>
      <w:r w:rsidR="00413BFC" w:rsidRPr="00373BB7">
        <w:rPr>
          <w:lang w:eastAsia="en-US"/>
        </w:rPr>
        <w:t>:</w:t>
      </w:r>
    </w:p>
    <w:p w14:paraId="6D960F92" w14:textId="77777777" w:rsidR="00413BFC" w:rsidRPr="00373BB7" w:rsidRDefault="00A14828" w:rsidP="00B47296">
      <w:pPr>
        <w:pStyle w:val="Bulletindent"/>
        <w:rPr>
          <w:lang w:eastAsia="en-US"/>
        </w:rPr>
      </w:pPr>
      <w:r>
        <w:rPr>
          <w:lang w:eastAsia="en-US"/>
        </w:rPr>
        <w:t>s</w:t>
      </w:r>
      <w:r w:rsidR="00A4263C">
        <w:rPr>
          <w:lang w:eastAsia="en-US"/>
        </w:rPr>
        <w:t xml:space="preserve">uch agreements </w:t>
      </w:r>
      <w:r w:rsidR="00413BFC" w:rsidRPr="00373BB7">
        <w:rPr>
          <w:lang w:eastAsia="en-US"/>
        </w:rPr>
        <w:t xml:space="preserve">only apply to Departments; </w:t>
      </w:r>
    </w:p>
    <w:p w14:paraId="30E03898" w14:textId="77777777" w:rsidR="007701BE" w:rsidRDefault="00A4263C" w:rsidP="00B47296">
      <w:pPr>
        <w:pStyle w:val="Bulletindent"/>
        <w:rPr>
          <w:lang w:eastAsia="en-US"/>
        </w:rPr>
      </w:pPr>
      <w:r>
        <w:rPr>
          <w:lang w:eastAsia="en-US"/>
        </w:rPr>
        <w:t xml:space="preserve">the agreements </w:t>
      </w:r>
      <w:r w:rsidR="00413BFC" w:rsidRPr="00373BB7">
        <w:rPr>
          <w:lang w:eastAsia="en-US"/>
        </w:rPr>
        <w:t xml:space="preserve">increase a Department’s annual appropriation by the </w:t>
      </w:r>
      <w:r w:rsidR="00413BFC" w:rsidRPr="00373BB7">
        <w:rPr>
          <w:i/>
          <w:lang w:eastAsia="en-US"/>
        </w:rPr>
        <w:t xml:space="preserve">actual revenue recognised </w:t>
      </w:r>
      <w:r w:rsidR="00413BFC" w:rsidRPr="00373BB7">
        <w:rPr>
          <w:lang w:eastAsia="en-US"/>
        </w:rPr>
        <w:t xml:space="preserve">(or in the case of asset sales – the </w:t>
      </w:r>
      <w:r w:rsidR="00413BFC" w:rsidRPr="00A4263C">
        <w:rPr>
          <w:i/>
          <w:lang w:eastAsia="en-US"/>
        </w:rPr>
        <w:t>actual receipt of the cash</w:t>
      </w:r>
      <w:r w:rsidR="00413BFC" w:rsidRPr="00373BB7">
        <w:rPr>
          <w:lang w:eastAsia="en-US"/>
        </w:rPr>
        <w:t>) rather than the estimated am</w:t>
      </w:r>
      <w:r w:rsidR="00A14828">
        <w:rPr>
          <w:lang w:eastAsia="en-US"/>
        </w:rPr>
        <w:t>ount noted in an agreement;</w:t>
      </w:r>
      <w:r w:rsidR="007701BE">
        <w:rPr>
          <w:lang w:eastAsia="en-US"/>
        </w:rPr>
        <w:t xml:space="preserve"> </w:t>
      </w:r>
    </w:p>
    <w:p w14:paraId="24E7F011" w14:textId="77777777" w:rsidR="00A4263C" w:rsidRDefault="00A14828" w:rsidP="00B47296">
      <w:pPr>
        <w:pStyle w:val="Bulletindent"/>
        <w:rPr>
          <w:lang w:eastAsia="en-US"/>
        </w:rPr>
      </w:pPr>
      <w:r>
        <w:rPr>
          <w:lang w:eastAsia="en-US"/>
        </w:rPr>
        <w:t>f</w:t>
      </w:r>
      <w:r w:rsidR="007701BE">
        <w:rPr>
          <w:lang w:eastAsia="en-US"/>
        </w:rPr>
        <w:t>or user charges, any increases in revenue that are the result of the application of competitive neutrality principles may be retained by the Department (i</w:t>
      </w:r>
      <w:r>
        <w:rPr>
          <w:lang w:eastAsia="en-US"/>
        </w:rPr>
        <w:t>.</w:t>
      </w:r>
      <w:r w:rsidR="007701BE">
        <w:rPr>
          <w:lang w:eastAsia="en-US"/>
        </w:rPr>
        <w:t>e</w:t>
      </w:r>
      <w:r>
        <w:rPr>
          <w:lang w:eastAsia="en-US"/>
        </w:rPr>
        <w:t>. on an unchanged policy basis); and</w:t>
      </w:r>
    </w:p>
    <w:p w14:paraId="70F195A3" w14:textId="65FE95D4" w:rsidR="0034149A" w:rsidRDefault="00A14828" w:rsidP="00B47296">
      <w:pPr>
        <w:pStyle w:val="Bulletindent"/>
        <w:rPr>
          <w:lang w:eastAsia="en-US"/>
        </w:rPr>
      </w:pPr>
      <w:r>
        <w:rPr>
          <w:lang w:eastAsia="en-US"/>
        </w:rPr>
        <w:t>t</w:t>
      </w:r>
      <w:r w:rsidR="0034149A">
        <w:rPr>
          <w:lang w:eastAsia="en-US"/>
        </w:rPr>
        <w:t>he a</w:t>
      </w:r>
      <w:r w:rsidR="0034149A" w:rsidRPr="0034149A">
        <w:rPr>
          <w:lang w:eastAsia="en-US"/>
        </w:rPr>
        <w:t>ppropriation item mus</w:t>
      </w:r>
      <w:r>
        <w:rPr>
          <w:lang w:eastAsia="en-US"/>
        </w:rPr>
        <w:t>t specify ‘</w:t>
      </w:r>
      <w:r w:rsidR="003430C7">
        <w:rPr>
          <w:lang w:eastAsia="en-US"/>
        </w:rPr>
        <w:t>s</w:t>
      </w:r>
      <w:r w:rsidR="001E54AE">
        <w:rPr>
          <w:lang w:eastAsia="en-US"/>
        </w:rPr>
        <w:t xml:space="preserve">ection </w:t>
      </w:r>
      <w:r w:rsidR="0034149A">
        <w:rPr>
          <w:lang w:eastAsia="en-US"/>
        </w:rPr>
        <w:t xml:space="preserve">29 </w:t>
      </w:r>
      <w:r w:rsidR="001E54AE">
        <w:rPr>
          <w:lang w:eastAsia="en-US"/>
        </w:rPr>
        <w:t>of the</w:t>
      </w:r>
      <w:r>
        <w:rPr>
          <w:lang w:eastAsia="en-US"/>
        </w:rPr>
        <w:t xml:space="preserve"> </w:t>
      </w:r>
      <w:r w:rsidRPr="00CC37A7">
        <w:rPr>
          <w:b/>
          <w:lang w:eastAsia="en-US"/>
        </w:rPr>
        <w:t>F</w:t>
      </w:r>
      <w:r w:rsidR="003430C7" w:rsidRPr="00CC37A7">
        <w:rPr>
          <w:b/>
          <w:lang w:eastAsia="en-US"/>
        </w:rPr>
        <w:t xml:space="preserve">inancial </w:t>
      </w:r>
      <w:r w:rsidRPr="00CC37A7">
        <w:rPr>
          <w:b/>
          <w:lang w:eastAsia="en-US"/>
        </w:rPr>
        <w:t>M</w:t>
      </w:r>
      <w:r w:rsidR="003430C7" w:rsidRPr="00CC37A7">
        <w:rPr>
          <w:b/>
          <w:lang w:eastAsia="en-US"/>
        </w:rPr>
        <w:t xml:space="preserve">anagement </w:t>
      </w:r>
      <w:r w:rsidRPr="00CC37A7">
        <w:rPr>
          <w:b/>
          <w:lang w:eastAsia="en-US"/>
        </w:rPr>
        <w:t>A</w:t>
      </w:r>
      <w:r w:rsidR="003430C7" w:rsidRPr="00CC37A7">
        <w:rPr>
          <w:b/>
          <w:lang w:eastAsia="en-US"/>
        </w:rPr>
        <w:t>ct 1994</w:t>
      </w:r>
      <w:r w:rsidR="001E54AE">
        <w:rPr>
          <w:lang w:eastAsia="en-US"/>
        </w:rPr>
        <w:t xml:space="preserve"> </w:t>
      </w:r>
      <w:r w:rsidR="0034149A">
        <w:rPr>
          <w:lang w:eastAsia="en-US"/>
        </w:rPr>
        <w:t>applies</w:t>
      </w:r>
      <w:r>
        <w:rPr>
          <w:lang w:eastAsia="en-US"/>
        </w:rPr>
        <w:t>’</w:t>
      </w:r>
      <w:r w:rsidR="001E54AE">
        <w:rPr>
          <w:lang w:eastAsia="en-US"/>
        </w:rPr>
        <w:t xml:space="preserve"> in the Appropriation Act for a given year</w:t>
      </w:r>
      <w:r w:rsidR="0034149A">
        <w:rPr>
          <w:lang w:eastAsia="en-US"/>
        </w:rPr>
        <w:t>, otherwise</w:t>
      </w:r>
      <w:r w:rsidR="001E54AE">
        <w:rPr>
          <w:lang w:eastAsia="en-US"/>
        </w:rPr>
        <w:t xml:space="preserve"> an agreement cannot apply.</w:t>
      </w:r>
    </w:p>
    <w:p w14:paraId="7F0689C5" w14:textId="27CAAA66" w:rsidR="00413BFC" w:rsidRDefault="00A4263C" w:rsidP="00A4263C">
      <w:pPr>
        <w:spacing w:line="252" w:lineRule="auto"/>
        <w:ind w:left="792"/>
        <w:rPr>
          <w:lang w:eastAsia="en-US"/>
        </w:rPr>
      </w:pPr>
      <w:r>
        <w:rPr>
          <w:lang w:eastAsia="en-US"/>
        </w:rPr>
        <w:t xml:space="preserve">All </w:t>
      </w:r>
      <w:r w:rsidR="003430C7">
        <w:rPr>
          <w:lang w:eastAsia="en-US"/>
        </w:rPr>
        <w:t>s</w:t>
      </w:r>
      <w:r>
        <w:rPr>
          <w:lang w:eastAsia="en-US"/>
        </w:rPr>
        <w:t xml:space="preserve">ection 29 </w:t>
      </w:r>
      <w:r w:rsidR="003430C7">
        <w:rPr>
          <w:lang w:eastAsia="en-US"/>
        </w:rPr>
        <w:t>a</w:t>
      </w:r>
      <w:r>
        <w:rPr>
          <w:lang w:eastAsia="en-US"/>
        </w:rPr>
        <w:t xml:space="preserve">greements </w:t>
      </w:r>
      <w:r w:rsidR="00413BFC" w:rsidRPr="00373BB7">
        <w:rPr>
          <w:lang w:eastAsia="en-US"/>
        </w:rPr>
        <w:t xml:space="preserve">must be renewed on an annual basis. </w:t>
      </w:r>
    </w:p>
    <w:p w14:paraId="38E038A3" w14:textId="6FE77B3B" w:rsidR="00B4688C" w:rsidRDefault="001B7EBC" w:rsidP="00B4688C">
      <w:pPr>
        <w:spacing w:line="252" w:lineRule="auto"/>
        <w:ind w:left="792"/>
        <w:rPr>
          <w:lang w:eastAsia="en-US"/>
        </w:rPr>
      </w:pPr>
      <w:r>
        <w:rPr>
          <w:b/>
          <w:lang w:eastAsia="en-US"/>
        </w:rPr>
        <w:t xml:space="preserve">Regarding </w:t>
      </w:r>
      <w:r w:rsidR="00B4688C" w:rsidRPr="00E57A58">
        <w:rPr>
          <w:b/>
          <w:lang w:eastAsia="en-US"/>
        </w:rPr>
        <w:t>user charges</w:t>
      </w:r>
      <w:r w:rsidR="00B4688C">
        <w:rPr>
          <w:lang w:eastAsia="en-US"/>
        </w:rPr>
        <w:t xml:space="preserve"> - </w:t>
      </w:r>
      <w:r w:rsidR="00B4688C" w:rsidRPr="00373BB7">
        <w:rPr>
          <w:lang w:eastAsia="en-US"/>
        </w:rPr>
        <w:t xml:space="preserve">When a </w:t>
      </w:r>
      <w:r w:rsidR="00324824">
        <w:rPr>
          <w:lang w:eastAsia="en-US"/>
        </w:rPr>
        <w:t>s</w:t>
      </w:r>
      <w:r w:rsidR="00B4688C" w:rsidRPr="00373BB7">
        <w:rPr>
          <w:lang w:eastAsia="en-US"/>
        </w:rPr>
        <w:t xml:space="preserve">ection 29 </w:t>
      </w:r>
      <w:r w:rsidR="00324824">
        <w:rPr>
          <w:lang w:eastAsia="en-US"/>
        </w:rPr>
        <w:t>a</w:t>
      </w:r>
      <w:r w:rsidR="00B4688C" w:rsidRPr="00373BB7">
        <w:rPr>
          <w:lang w:eastAsia="en-US"/>
        </w:rPr>
        <w:t xml:space="preserve">greement for user charges </w:t>
      </w:r>
      <w:r w:rsidR="00B4688C">
        <w:rPr>
          <w:lang w:eastAsia="en-US"/>
        </w:rPr>
        <w:t xml:space="preserve">is reached </w:t>
      </w:r>
      <w:r w:rsidR="00B4688C" w:rsidRPr="00373BB7">
        <w:rPr>
          <w:lang w:eastAsia="en-US"/>
        </w:rPr>
        <w:t>as part of the Budget process, the appropriation for the particular item in the Appropriation Act is reduced by the amount estimated to be received from the source of revenue</w:t>
      </w:r>
      <w:r w:rsidR="00B4688C">
        <w:rPr>
          <w:lang w:eastAsia="en-US"/>
        </w:rPr>
        <w:t xml:space="preserve"> identified in the </w:t>
      </w:r>
      <w:r w:rsidR="003430C7">
        <w:rPr>
          <w:lang w:eastAsia="en-US"/>
        </w:rPr>
        <w:t>s</w:t>
      </w:r>
      <w:r w:rsidR="00B4688C">
        <w:rPr>
          <w:lang w:eastAsia="en-US"/>
        </w:rPr>
        <w:t xml:space="preserve">ection 29 </w:t>
      </w:r>
      <w:r w:rsidR="003430C7">
        <w:rPr>
          <w:lang w:eastAsia="en-US"/>
        </w:rPr>
        <w:t>a</w:t>
      </w:r>
      <w:r w:rsidR="00B4688C">
        <w:rPr>
          <w:lang w:eastAsia="en-US"/>
        </w:rPr>
        <w:t>greement</w:t>
      </w:r>
      <w:r w:rsidR="00B4688C" w:rsidRPr="00373BB7">
        <w:rPr>
          <w:lang w:eastAsia="en-US"/>
        </w:rPr>
        <w:t>.</w:t>
      </w:r>
    </w:p>
    <w:p w14:paraId="0CE9989D" w14:textId="77777777" w:rsidR="00E82AA3" w:rsidRPr="00373BB7" w:rsidRDefault="004961FD" w:rsidP="000B672C">
      <w:pPr>
        <w:pStyle w:val="Heading3indent"/>
      </w:pPr>
      <w:r>
        <w:t>Where estimated revenue</w:t>
      </w:r>
      <w:r w:rsidR="00E82AA3" w:rsidRPr="00373BB7">
        <w:t xml:space="preserve"> </w:t>
      </w:r>
      <w:r>
        <w:t>is</w:t>
      </w:r>
      <w:r w:rsidR="00E82AA3" w:rsidRPr="00373BB7">
        <w:t xml:space="preserve"> exceeded</w:t>
      </w:r>
    </w:p>
    <w:p w14:paraId="789078E0" w14:textId="0E864F1D" w:rsidR="004961FD" w:rsidRDefault="004961FD" w:rsidP="00B4688C">
      <w:pPr>
        <w:spacing w:line="252" w:lineRule="auto"/>
        <w:ind w:left="792"/>
      </w:pPr>
      <w:r>
        <w:t>As a general rule, i</w:t>
      </w:r>
      <w:r w:rsidRPr="00373BB7">
        <w:t>f a Department exceeds the agreed revenue estimate</w:t>
      </w:r>
      <w:r w:rsidR="00357379">
        <w:t>,</w:t>
      </w:r>
      <w:r w:rsidRPr="00373BB7">
        <w:t xml:space="preserve"> the appropriation is increased to the value of the additional </w:t>
      </w:r>
      <w:r w:rsidR="006D33F3">
        <w:t>revenue</w:t>
      </w:r>
      <w:r w:rsidRPr="00373BB7">
        <w:t xml:space="preserve"> and is available to the Department.</w:t>
      </w:r>
      <w:r w:rsidRPr="004961FD">
        <w:t xml:space="preserve"> </w:t>
      </w:r>
      <w:r w:rsidRPr="00373BB7">
        <w:t xml:space="preserve">This revenue </w:t>
      </w:r>
      <w:r>
        <w:t xml:space="preserve">may </w:t>
      </w:r>
      <w:r w:rsidRPr="00373BB7">
        <w:t>be used for any purpose consistent with the appropriation item and the Department’s agreed objectives and/or asset investment program</w:t>
      </w:r>
      <w:r w:rsidR="003430C7">
        <w:t>.</w:t>
      </w:r>
    </w:p>
    <w:p w14:paraId="597A3245" w14:textId="30178377" w:rsidR="00B4688C" w:rsidRDefault="001B7EBC" w:rsidP="00B4688C">
      <w:pPr>
        <w:spacing w:line="252" w:lineRule="auto"/>
        <w:ind w:left="792"/>
      </w:pPr>
      <w:r>
        <w:t xml:space="preserve">However, </w:t>
      </w:r>
      <w:r w:rsidR="00324824">
        <w:t xml:space="preserve">there </w:t>
      </w:r>
      <w:r w:rsidR="001569BD">
        <w:t>are different</w:t>
      </w:r>
      <w:r w:rsidR="00B4688C">
        <w:t xml:space="preserve"> types of revenue arrangements</w:t>
      </w:r>
      <w:r w:rsidR="003430C7">
        <w:t xml:space="preserve"> under section 29 of the FMA</w:t>
      </w:r>
      <w:r w:rsidR="00B4688C">
        <w:t>:</w:t>
      </w:r>
    </w:p>
    <w:p w14:paraId="3FE75583" w14:textId="5C3F8A86" w:rsidR="00B4688C" w:rsidRDefault="00B4688C" w:rsidP="00B47296">
      <w:pPr>
        <w:pStyle w:val="Bulletindent"/>
      </w:pPr>
      <w:r w:rsidRPr="00B4688C">
        <w:rPr>
          <w:b/>
        </w:rPr>
        <w:t xml:space="preserve">Commonwealth specific purpose grant revenue, and specific purpose revenue from Municipal Councils - </w:t>
      </w:r>
      <w:r>
        <w:t xml:space="preserve">Departments should not claim revenue under a </w:t>
      </w:r>
      <w:r w:rsidR="001569BD">
        <w:t>s</w:t>
      </w:r>
      <w:r>
        <w:t>ection 29 arrangement if those funds are not needed in the year to meet costs incurred.</w:t>
      </w:r>
      <w:r w:rsidR="004961FD">
        <w:t xml:space="preserve"> </w:t>
      </w:r>
      <w:r w:rsidR="004961FD" w:rsidRPr="00373BB7">
        <w:t>I</w:t>
      </w:r>
      <w:r w:rsidR="004961FD">
        <w:t xml:space="preserve">f access to excess revenue from these sources of funds is required </w:t>
      </w:r>
      <w:r w:rsidR="00745BA1">
        <w:t>in the following financial year</w:t>
      </w:r>
      <w:r w:rsidR="004961FD">
        <w:t xml:space="preserve">, </w:t>
      </w:r>
      <w:r w:rsidR="004961FD" w:rsidRPr="00373BB7">
        <w:t xml:space="preserve">Departments may </w:t>
      </w:r>
      <w:r w:rsidR="004961FD">
        <w:t xml:space="preserve">apply for carryover of these funds </w:t>
      </w:r>
      <w:r w:rsidR="004961FD" w:rsidRPr="00373BB7">
        <w:t xml:space="preserve">subject to the approval of the </w:t>
      </w:r>
      <w:r w:rsidR="004961FD" w:rsidRPr="00F324FC">
        <w:t>Treasurer (</w:t>
      </w:r>
      <w:r w:rsidR="00A14828" w:rsidRPr="00F324FC">
        <w:t xml:space="preserve">refer </w:t>
      </w:r>
      <w:r w:rsidR="001569BD">
        <w:t>S</w:t>
      </w:r>
      <w:r w:rsidR="00A14828" w:rsidRPr="00F324FC">
        <w:t>ection 1.7</w:t>
      </w:r>
      <w:r w:rsidR="001569BD">
        <w:t xml:space="preserve"> of the BOF</w:t>
      </w:r>
      <w:r w:rsidR="004961FD" w:rsidRPr="00F324FC">
        <w:t>).</w:t>
      </w:r>
    </w:p>
    <w:p w14:paraId="28C85144" w14:textId="0CB21791" w:rsidR="004961FD" w:rsidRDefault="00B4688C" w:rsidP="00B47296">
      <w:pPr>
        <w:pStyle w:val="Bulletindent"/>
      </w:pPr>
      <w:r w:rsidRPr="00AA51C4">
        <w:rPr>
          <w:b/>
        </w:rPr>
        <w:t>Revenue from outputs (relating to user charges)</w:t>
      </w:r>
      <w:r>
        <w:t xml:space="preserve"> –</w:t>
      </w:r>
      <w:r w:rsidR="00AA51C4">
        <w:t xml:space="preserve"> i</w:t>
      </w:r>
      <w:r w:rsidR="00AA51C4" w:rsidRPr="00AA51C4">
        <w:t>n some cases</w:t>
      </w:r>
      <w:r w:rsidR="00AA51C4">
        <w:t>,</w:t>
      </w:r>
      <w:r w:rsidR="00AA51C4" w:rsidRPr="00AA51C4">
        <w:t xml:space="preserve"> Departments </w:t>
      </w:r>
      <w:r w:rsidR="003F140D">
        <w:t>could</w:t>
      </w:r>
      <w:r w:rsidR="00AA51C4" w:rsidRPr="00AA51C4">
        <w:t xml:space="preserve"> exceed the revenue estimate for user charges but will not have spent the additional </w:t>
      </w:r>
      <w:r w:rsidR="003F140D">
        <w:t>revenue</w:t>
      </w:r>
      <w:r w:rsidR="00AA51C4" w:rsidRPr="00AA51C4">
        <w:t xml:space="preserve"> by the end of the year. For example, if there is a</w:t>
      </w:r>
      <w:r w:rsidR="00AA51C4">
        <w:t>n</w:t>
      </w:r>
      <w:r w:rsidR="00AA51C4" w:rsidRPr="00AA51C4">
        <w:t xml:space="preserve"> over-collection of user charges relative to the expenditure incurred, this may result in a surp</w:t>
      </w:r>
      <w:r w:rsidR="003F140D">
        <w:t xml:space="preserve">lus which </w:t>
      </w:r>
      <w:r w:rsidR="00AA51C4">
        <w:t>will</w:t>
      </w:r>
      <w:r w:rsidR="00AA51C4" w:rsidRPr="00AA51C4">
        <w:t xml:space="preserve"> accrue in </w:t>
      </w:r>
      <w:r w:rsidR="003F140D">
        <w:t>a Department’s</w:t>
      </w:r>
      <w:r w:rsidR="00AA51C4" w:rsidRPr="00AA51C4">
        <w:t xml:space="preserve"> SAU inter</w:t>
      </w:r>
      <w:r w:rsidR="00357379">
        <w:t>-</w:t>
      </w:r>
      <w:r w:rsidR="00AA51C4" w:rsidRPr="00AA51C4">
        <w:t xml:space="preserve">entity account. Departments may </w:t>
      </w:r>
      <w:r w:rsidR="003F140D">
        <w:t xml:space="preserve">then </w:t>
      </w:r>
      <w:r w:rsidR="00AA51C4" w:rsidRPr="00AA51C4">
        <w:t xml:space="preserve">apply for access to </w:t>
      </w:r>
      <w:r w:rsidR="00AA51C4">
        <w:t xml:space="preserve">these </w:t>
      </w:r>
      <w:r w:rsidR="00AA51C4" w:rsidRPr="00AA51C4">
        <w:t xml:space="preserve">surpluses in a subsequent year subject to the approval of the Treasurer (refer </w:t>
      </w:r>
      <w:r w:rsidR="001569BD">
        <w:t>S</w:t>
      </w:r>
      <w:r w:rsidR="00AA51C4" w:rsidRPr="00AA51C4">
        <w:t xml:space="preserve">ection </w:t>
      </w:r>
      <w:r w:rsidR="00AA51C4">
        <w:t>1.8</w:t>
      </w:r>
      <w:r w:rsidR="001569BD">
        <w:t xml:space="preserve"> of the BOF</w:t>
      </w:r>
      <w:r w:rsidR="00AA51C4" w:rsidRPr="00AA51C4">
        <w:t>).</w:t>
      </w:r>
    </w:p>
    <w:p w14:paraId="27E26CE7" w14:textId="273EC3D5" w:rsidR="00B4688C" w:rsidRDefault="004961FD" w:rsidP="00B47296">
      <w:pPr>
        <w:pStyle w:val="Bulletindent"/>
      </w:pPr>
      <w:r w:rsidRPr="004961FD">
        <w:rPr>
          <w:b/>
        </w:rPr>
        <w:t>R</w:t>
      </w:r>
      <w:r w:rsidR="00B4688C" w:rsidRPr="004961FD">
        <w:rPr>
          <w:b/>
        </w:rPr>
        <w:t>eceipts from asset sales</w:t>
      </w:r>
      <w:r w:rsidR="00B4688C">
        <w:t xml:space="preserve"> </w:t>
      </w:r>
      <w:r>
        <w:t xml:space="preserve">– Departments may only draw down on the actual cash </w:t>
      </w:r>
      <w:r w:rsidR="00B4688C">
        <w:t xml:space="preserve">received </w:t>
      </w:r>
      <w:r>
        <w:t>from an asset sale</w:t>
      </w:r>
      <w:r w:rsidR="00B8571B">
        <w:t xml:space="preserve"> and only to the extent required </w:t>
      </w:r>
      <w:r w:rsidR="00C024A4">
        <w:t xml:space="preserve">in the current year </w:t>
      </w:r>
      <w:r w:rsidR="00B8571B">
        <w:t xml:space="preserve">to fund </w:t>
      </w:r>
      <w:r w:rsidR="00C024A4">
        <w:t>cash outflows for approved</w:t>
      </w:r>
      <w:r w:rsidR="00B8571B">
        <w:t xml:space="preserve"> investment</w:t>
      </w:r>
      <w:r w:rsidR="00C024A4">
        <w:t>s</w:t>
      </w:r>
      <w:r>
        <w:t>.</w:t>
      </w:r>
      <w:r w:rsidR="00C024A4">
        <w:t xml:space="preserve"> Any unspent receipts at year end are then subject to </w:t>
      </w:r>
      <w:r w:rsidR="001569BD">
        <w:t>s</w:t>
      </w:r>
      <w:r w:rsidR="00CF0AF5">
        <w:t xml:space="preserve">ection </w:t>
      </w:r>
      <w:r w:rsidR="00C024A4">
        <w:t>32 carryover.</w:t>
      </w:r>
    </w:p>
    <w:p w14:paraId="3478B389" w14:textId="77777777" w:rsidR="00A14828" w:rsidRDefault="00A14828">
      <w:pPr>
        <w:spacing w:before="0" w:after="200"/>
        <w:rPr>
          <w:b/>
          <w:color w:val="0063A6" w:themeColor="accent1"/>
          <w:highlight w:val="yellow"/>
        </w:rPr>
      </w:pPr>
      <w:r>
        <w:rPr>
          <w:highlight w:val="yellow"/>
        </w:rPr>
        <w:br w:type="page"/>
      </w:r>
    </w:p>
    <w:p w14:paraId="158C4B8A" w14:textId="2DEB9806" w:rsidR="007701BE" w:rsidRPr="00451821" w:rsidRDefault="007701BE" w:rsidP="000B672C">
      <w:pPr>
        <w:pStyle w:val="Heading3indent"/>
      </w:pPr>
      <w:r w:rsidRPr="00F324FC">
        <w:lastRenderedPageBreak/>
        <w:t xml:space="preserve">Accounting for </w:t>
      </w:r>
      <w:r w:rsidR="001569BD">
        <w:t>s</w:t>
      </w:r>
      <w:r w:rsidRPr="00F324FC">
        <w:t>ection 29 revenue</w:t>
      </w:r>
    </w:p>
    <w:p w14:paraId="423AAC86" w14:textId="4233E942" w:rsidR="007701BE" w:rsidRPr="00373BB7" w:rsidRDefault="007701BE" w:rsidP="007701BE">
      <w:pPr>
        <w:spacing w:line="252" w:lineRule="auto"/>
        <w:ind w:left="792"/>
      </w:pPr>
      <w:r>
        <w:t xml:space="preserve">The accounting treatment for the recognition of </w:t>
      </w:r>
      <w:r w:rsidR="001569BD">
        <w:t>s</w:t>
      </w:r>
      <w:r>
        <w:t>ection 29 revenue flows are documented in the diagram below:</w:t>
      </w:r>
    </w:p>
    <w:p w14:paraId="7C8F97F8" w14:textId="77777777" w:rsidR="007701BE" w:rsidRPr="00373BB7" w:rsidRDefault="007701BE" w:rsidP="007701BE">
      <w:pPr>
        <w:spacing w:line="252" w:lineRule="auto"/>
        <w:ind w:left="792"/>
        <w:jc w:val="center"/>
      </w:pPr>
      <w:r w:rsidRPr="00373BB7">
        <w:rPr>
          <w:noProof/>
        </w:rPr>
        <mc:AlternateContent>
          <mc:Choice Requires="wpc">
            <w:drawing>
              <wp:inline distT="0" distB="0" distL="0" distR="0" wp14:anchorId="019402D2" wp14:editId="263CD1FC">
                <wp:extent cx="3957523" cy="2684679"/>
                <wp:effectExtent l="0" t="0" r="5080" b="0"/>
                <wp:docPr id="19746" name="Canvas 197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499" name="Rectangle 19499"/>
                        <wps:cNvSpPr/>
                        <wps:spPr>
                          <a:xfrm>
                            <a:off x="33700" y="33700"/>
                            <a:ext cx="3869872" cy="2573383"/>
                          </a:xfrm>
                          <a:prstGeom prst="rect">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500" name="Rectangle 19500"/>
                        <wps:cNvSpPr/>
                        <wps:spPr>
                          <a:xfrm>
                            <a:off x="425586" y="978716"/>
                            <a:ext cx="1200150" cy="506186"/>
                          </a:xfrm>
                          <a:prstGeom prst="rect">
                            <a:avLst/>
                          </a:prstGeom>
                          <a:solidFill>
                            <a:srgbClr val="D9D9D6"/>
                          </a:solidFill>
                          <a:ln w="25400" cap="flat" cmpd="sng" algn="ctr">
                            <a:noFill/>
                            <a:prstDash val="solid"/>
                          </a:ln>
                          <a:effectLst/>
                        </wps:spPr>
                        <wps:txbx>
                          <w:txbxContent>
                            <w:p w14:paraId="1FA73B68" w14:textId="77777777" w:rsidR="002536F9" w:rsidRPr="00F22A92" w:rsidRDefault="002536F9" w:rsidP="007701BE">
                              <w:pPr>
                                <w:pStyle w:val="NormalWeb"/>
                                <w:spacing w:before="0" w:beforeAutospacing="0" w:after="0" w:afterAutospacing="0"/>
                                <w:jc w:val="center"/>
                                <w:rPr>
                                  <w:color w:val="000000" w:themeColor="text1"/>
                                </w:rPr>
                              </w:pPr>
                              <w:r w:rsidRPr="00F22A92">
                                <w:rPr>
                                  <w:rFonts w:asciiTheme="minorHAnsi" w:hAnsi="Arial" w:cstheme="minorBidi"/>
                                  <w:color w:val="000000" w:themeColor="text1"/>
                                  <w:kern w:val="24"/>
                                  <w:sz w:val="20"/>
                                  <w:szCs w:val="20"/>
                                </w:rPr>
                                <w:t>Consolidated Fund receipt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01" name="Rectangle 19501"/>
                        <wps:cNvSpPr/>
                        <wps:spPr>
                          <a:xfrm>
                            <a:off x="2275069" y="1888217"/>
                            <a:ext cx="1200150" cy="506186"/>
                          </a:xfrm>
                          <a:prstGeom prst="rect">
                            <a:avLst/>
                          </a:prstGeom>
                          <a:solidFill>
                            <a:srgbClr val="D9D9D6"/>
                          </a:solidFill>
                          <a:ln w="25400" cap="flat" cmpd="sng" algn="ctr">
                            <a:noFill/>
                            <a:prstDash val="solid"/>
                          </a:ln>
                          <a:effectLst/>
                        </wps:spPr>
                        <wps:txbx>
                          <w:txbxContent>
                            <w:p w14:paraId="7F73D219" w14:textId="77777777" w:rsidR="002536F9" w:rsidRPr="00F22A92" w:rsidRDefault="002536F9" w:rsidP="007701BE">
                              <w:pPr>
                                <w:pStyle w:val="NormalWeb"/>
                                <w:spacing w:before="0" w:beforeAutospacing="0" w:after="0" w:afterAutospacing="0"/>
                                <w:jc w:val="center"/>
                                <w:rPr>
                                  <w:color w:val="000000" w:themeColor="text1"/>
                                </w:rPr>
                              </w:pPr>
                              <w:r w:rsidRPr="00F22A92">
                                <w:rPr>
                                  <w:rFonts w:asciiTheme="minorHAnsi" w:hAnsi="Arial" w:cstheme="minorBidi"/>
                                  <w:color w:val="000000" w:themeColor="text1"/>
                                  <w:kern w:val="24"/>
                                  <w:sz w:val="20"/>
                                  <w:szCs w:val="20"/>
                                </w:rPr>
                                <w:t>Operating statement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02" name="Rectangle 19502"/>
                        <wps:cNvSpPr/>
                        <wps:spPr>
                          <a:xfrm>
                            <a:off x="425586" y="1885496"/>
                            <a:ext cx="1200150" cy="506186"/>
                          </a:xfrm>
                          <a:prstGeom prst="rect">
                            <a:avLst/>
                          </a:prstGeom>
                          <a:solidFill>
                            <a:srgbClr val="D9D9D6"/>
                          </a:solidFill>
                          <a:ln w="25400" cap="flat" cmpd="sng" algn="ctr">
                            <a:noFill/>
                            <a:prstDash val="solid"/>
                          </a:ln>
                          <a:effectLst/>
                        </wps:spPr>
                        <wps:txbx>
                          <w:txbxContent>
                            <w:p w14:paraId="2F220007" w14:textId="77777777" w:rsidR="002536F9" w:rsidRPr="00F22A92" w:rsidRDefault="002536F9" w:rsidP="007701BE">
                              <w:pPr>
                                <w:pStyle w:val="NormalWeb"/>
                                <w:spacing w:before="0" w:beforeAutospacing="0" w:after="0" w:afterAutospacing="0"/>
                                <w:jc w:val="center"/>
                                <w:rPr>
                                  <w:color w:val="000000" w:themeColor="text1"/>
                                </w:rPr>
                              </w:pPr>
                              <w:r w:rsidRPr="00F22A92">
                                <w:rPr>
                                  <w:rFonts w:asciiTheme="minorHAnsi" w:hAnsi="Arial" w:cstheme="minorBidi"/>
                                  <w:color w:val="000000" w:themeColor="text1"/>
                                  <w:kern w:val="24"/>
                                  <w:sz w:val="20"/>
                                  <w:szCs w:val="20"/>
                                </w:rPr>
                                <w:t>Appropriation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2275069" y="978716"/>
                            <a:ext cx="1200150" cy="506186"/>
                          </a:xfrm>
                          <a:prstGeom prst="rect">
                            <a:avLst/>
                          </a:prstGeom>
                          <a:solidFill>
                            <a:srgbClr val="D9D9D6"/>
                          </a:solidFill>
                          <a:ln w="25400" cap="flat" cmpd="sng" algn="ctr">
                            <a:noFill/>
                            <a:prstDash val="solid"/>
                          </a:ln>
                          <a:effectLst/>
                        </wps:spPr>
                        <wps:txbx>
                          <w:txbxContent>
                            <w:p w14:paraId="16216746" w14:textId="77777777" w:rsidR="002536F9" w:rsidRPr="00F22A92" w:rsidRDefault="002536F9" w:rsidP="007701BE">
                              <w:pPr>
                                <w:pStyle w:val="NormalWeb"/>
                                <w:spacing w:before="0" w:beforeAutospacing="0" w:after="0" w:afterAutospacing="0"/>
                                <w:jc w:val="center"/>
                                <w:rPr>
                                  <w:color w:val="000000" w:themeColor="text1"/>
                                </w:rPr>
                              </w:pPr>
                              <w:r w:rsidRPr="00F22A92">
                                <w:rPr>
                                  <w:rFonts w:asciiTheme="minorHAnsi" w:hAnsi="Arial" w:cstheme="minorBidi"/>
                                  <w:color w:val="000000" w:themeColor="text1"/>
                                  <w:kern w:val="24"/>
                                  <w:sz w:val="20"/>
                                  <w:szCs w:val="20"/>
                                </w:rPr>
                                <w:t>Receipt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425586" y="465999"/>
                            <a:ext cx="1200150" cy="253093"/>
                          </a:xfrm>
                          <a:prstGeom prst="rect">
                            <a:avLst/>
                          </a:prstGeom>
                          <a:noFill/>
                          <a:ln w="25400" cap="flat" cmpd="sng" algn="ctr">
                            <a:noFill/>
                            <a:prstDash val="solid"/>
                          </a:ln>
                          <a:effectLst/>
                        </wps:spPr>
                        <wps:txbx>
                          <w:txbxContent>
                            <w:p w14:paraId="48E3A3B7" w14:textId="77777777" w:rsidR="002536F9" w:rsidRDefault="002536F9" w:rsidP="007701BE">
                              <w:pPr>
                                <w:pStyle w:val="NormalWeb"/>
                                <w:spacing w:before="0" w:beforeAutospacing="0" w:after="0" w:afterAutospacing="0"/>
                                <w:jc w:val="center"/>
                              </w:pPr>
                              <w:r>
                                <w:rPr>
                                  <w:rFonts w:asciiTheme="minorHAnsi" w:hAnsi="Arial" w:cstheme="minorBidi"/>
                                  <w:b/>
                                  <w:bCs/>
                                  <w:color w:val="000000" w:themeColor="text1"/>
                                  <w:kern w:val="24"/>
                                  <w:sz w:val="20"/>
                                  <w:szCs w:val="20"/>
                                </w:rPr>
                                <w:t>Public Account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2275069" y="469672"/>
                            <a:ext cx="1200150" cy="253093"/>
                          </a:xfrm>
                          <a:prstGeom prst="rect">
                            <a:avLst/>
                          </a:prstGeom>
                          <a:noFill/>
                          <a:ln w="25400" cap="flat" cmpd="sng" algn="ctr">
                            <a:noFill/>
                            <a:prstDash val="solid"/>
                          </a:ln>
                          <a:effectLst/>
                        </wps:spPr>
                        <wps:txbx>
                          <w:txbxContent>
                            <w:p w14:paraId="5C610B3E" w14:textId="77777777" w:rsidR="002536F9" w:rsidRDefault="002536F9" w:rsidP="007701BE">
                              <w:pPr>
                                <w:pStyle w:val="NormalWeb"/>
                                <w:spacing w:before="0" w:beforeAutospacing="0" w:after="0" w:afterAutospacing="0"/>
                                <w:jc w:val="center"/>
                              </w:pPr>
                              <w:r>
                                <w:rPr>
                                  <w:rFonts w:asciiTheme="minorHAnsi" w:hAnsi="Arial" w:cstheme="minorBidi"/>
                                  <w:b/>
                                  <w:bCs/>
                                  <w:color w:val="000000" w:themeColor="text1"/>
                                  <w:kern w:val="24"/>
                                  <w:sz w:val="20"/>
                                  <w:szCs w:val="20"/>
                                </w:rPr>
                                <w:t>Department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64180" y="56560"/>
                            <a:ext cx="1200150" cy="253093"/>
                          </a:xfrm>
                          <a:prstGeom prst="rect">
                            <a:avLst/>
                          </a:prstGeom>
                          <a:noFill/>
                          <a:ln w="25400" cap="flat" cmpd="sng" algn="ctr">
                            <a:noFill/>
                            <a:prstDash val="solid"/>
                          </a:ln>
                          <a:effectLst/>
                        </wps:spPr>
                        <wps:txbx>
                          <w:txbxContent>
                            <w:p w14:paraId="1E0AD5BE" w14:textId="77777777" w:rsidR="002536F9" w:rsidRDefault="002536F9" w:rsidP="007701BE">
                              <w:pPr>
                                <w:pStyle w:val="NormalWeb"/>
                                <w:spacing w:before="0" w:beforeAutospacing="0" w:after="0" w:afterAutospacing="0"/>
                              </w:pPr>
                              <w:r>
                                <w:rPr>
                                  <w:rFonts w:asciiTheme="minorHAnsi" w:hAnsi="Arial" w:cstheme="minorBidi"/>
                                  <w:b/>
                                  <w:bCs/>
                                  <w:color w:val="000000" w:themeColor="text1"/>
                                  <w:kern w:val="24"/>
                                  <w:sz w:val="20"/>
                                  <w:szCs w:val="20"/>
                                </w:rPr>
                                <w:t>Exhibit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rot="5400000">
                            <a:off x="3267640" y="1093993"/>
                            <a:ext cx="904470" cy="278402"/>
                          </a:xfrm>
                          <a:prstGeom prst="rect">
                            <a:avLst/>
                          </a:prstGeom>
                          <a:noFill/>
                          <a:ln w="25400" cap="flat" cmpd="sng" algn="ctr">
                            <a:noFill/>
                            <a:prstDash val="solid"/>
                          </a:ln>
                          <a:effectLst/>
                        </wps:spPr>
                        <wps:txbx>
                          <w:txbxContent>
                            <w:p w14:paraId="1A9528AD" w14:textId="77777777" w:rsidR="002536F9" w:rsidRDefault="002536F9" w:rsidP="007701BE">
                              <w:pPr>
                                <w:pStyle w:val="NormalWeb"/>
                                <w:spacing w:before="0" w:beforeAutospacing="0" w:after="0" w:afterAutospacing="0"/>
                                <w:jc w:val="center"/>
                              </w:pPr>
                              <w:r>
                                <w:rPr>
                                  <w:rFonts w:asciiTheme="minorHAnsi" w:hAnsi="Arial" w:cstheme="minorBidi"/>
                                  <w:b/>
                                  <w:bCs/>
                                  <w:color w:val="000000" w:themeColor="text1"/>
                                  <w:kern w:val="24"/>
                                  <w:sz w:val="16"/>
                                  <w:szCs w:val="16"/>
                                </w:rPr>
                                <w:t>Administered</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99" name="Rectangle 199"/>
                        <wps:cNvSpPr/>
                        <wps:spPr>
                          <a:xfrm rot="5400000">
                            <a:off x="3348536" y="2018803"/>
                            <a:ext cx="730702" cy="253093"/>
                          </a:xfrm>
                          <a:prstGeom prst="rect">
                            <a:avLst/>
                          </a:prstGeom>
                          <a:noFill/>
                          <a:ln w="25400" cap="flat" cmpd="sng" algn="ctr">
                            <a:noFill/>
                            <a:prstDash val="solid"/>
                          </a:ln>
                          <a:effectLst/>
                        </wps:spPr>
                        <wps:txbx>
                          <w:txbxContent>
                            <w:p w14:paraId="0D937B24" w14:textId="77777777" w:rsidR="002536F9" w:rsidRDefault="002536F9" w:rsidP="007701BE">
                              <w:pPr>
                                <w:pStyle w:val="NormalWeb"/>
                                <w:spacing w:before="0" w:beforeAutospacing="0" w:after="0" w:afterAutospacing="0"/>
                                <w:jc w:val="center"/>
                              </w:pPr>
                              <w:r>
                                <w:rPr>
                                  <w:rFonts w:asciiTheme="minorHAnsi" w:hAnsi="Arial" w:cstheme="minorBidi"/>
                                  <w:b/>
                                  <w:bCs/>
                                  <w:color w:val="000000" w:themeColor="text1"/>
                                  <w:kern w:val="24"/>
                                  <w:sz w:val="16"/>
                                  <w:szCs w:val="16"/>
                                </w:rPr>
                                <w:t>Controlled</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200" name="Straight Connector 200"/>
                        <wps:cNvCnPr>
                          <a:stCxn id="19500" idx="2"/>
                          <a:endCxn id="19502" idx="0"/>
                        </wps:cNvCnPr>
                        <wps:spPr>
                          <a:xfrm>
                            <a:off x="1025661" y="1484902"/>
                            <a:ext cx="0" cy="400594"/>
                          </a:xfrm>
                          <a:prstGeom prst="line">
                            <a:avLst/>
                          </a:prstGeom>
                          <a:noFill/>
                          <a:ln w="12700" cap="flat" cmpd="sng" algn="ctr">
                            <a:solidFill>
                              <a:sysClr val="windowText" lastClr="000000"/>
                            </a:solidFill>
                            <a:prstDash val="solid"/>
                            <a:tailEnd type="stealth" w="med" len="lg"/>
                          </a:ln>
                          <a:effectLst/>
                        </wps:spPr>
                        <wps:bodyPr/>
                      </wps:wsp>
                      <wps:wsp>
                        <wps:cNvPr id="201" name="Straight Connector 201"/>
                        <wps:cNvCnPr>
                          <a:stCxn id="19502" idx="3"/>
                          <a:endCxn id="19501" idx="1"/>
                        </wps:cNvCnPr>
                        <wps:spPr>
                          <a:xfrm>
                            <a:off x="1625736" y="2138589"/>
                            <a:ext cx="649333" cy="2721"/>
                          </a:xfrm>
                          <a:prstGeom prst="line">
                            <a:avLst/>
                          </a:prstGeom>
                          <a:noFill/>
                          <a:ln w="12700" cap="flat" cmpd="sng" algn="ctr">
                            <a:solidFill>
                              <a:sysClr val="windowText" lastClr="000000"/>
                            </a:solidFill>
                            <a:prstDash val="solid"/>
                            <a:tailEnd type="stealth" w="med" len="lg"/>
                          </a:ln>
                          <a:effectLst/>
                        </wps:spPr>
                        <wps:bodyPr/>
                      </wps:wsp>
                      <wps:wsp>
                        <wps:cNvPr id="202" name="Straight Connector 202"/>
                        <wps:cNvCnPr>
                          <a:stCxn id="194" idx="1"/>
                          <a:endCxn id="19500" idx="3"/>
                        </wps:cNvCnPr>
                        <wps:spPr>
                          <a:xfrm flipH="1">
                            <a:off x="1625736" y="1231809"/>
                            <a:ext cx="649333" cy="0"/>
                          </a:xfrm>
                          <a:prstGeom prst="line">
                            <a:avLst/>
                          </a:prstGeom>
                          <a:noFill/>
                          <a:ln w="12700" cap="flat" cmpd="sng" algn="ctr">
                            <a:solidFill>
                              <a:sysClr val="windowText" lastClr="000000"/>
                            </a:solidFill>
                            <a:prstDash val="solid"/>
                            <a:tailEnd type="stealth" w="med" len="lg"/>
                          </a:ln>
                          <a:effectLst/>
                        </wps:spPr>
                        <wps:bodyPr/>
                      </wps:wsp>
                      <wps:wsp>
                        <wps:cNvPr id="203" name="Rectangle 203"/>
                        <wps:cNvSpPr/>
                        <wps:spPr>
                          <a:xfrm>
                            <a:off x="1950402" y="970416"/>
                            <a:ext cx="194310" cy="253093"/>
                          </a:xfrm>
                          <a:prstGeom prst="rect">
                            <a:avLst/>
                          </a:prstGeom>
                          <a:noFill/>
                          <a:ln w="25400" cap="flat" cmpd="sng" algn="ctr">
                            <a:noFill/>
                            <a:prstDash val="solid"/>
                          </a:ln>
                          <a:effectLst/>
                        </wps:spPr>
                        <wps:txbx>
                          <w:txbxContent>
                            <w:p w14:paraId="7112F66B" w14:textId="77777777" w:rsidR="002536F9" w:rsidRDefault="002536F9" w:rsidP="007701BE">
                              <w:pPr>
                                <w:pStyle w:val="NormalWeb"/>
                                <w:spacing w:before="0" w:beforeAutospacing="0" w:after="0" w:afterAutospacing="0"/>
                                <w:jc w:val="center"/>
                              </w:pPr>
                              <w:r>
                                <w:rPr>
                                  <w:rFonts w:asciiTheme="minorHAnsi" w:hAnsi="Arial" w:cstheme="minorBidi"/>
                                  <w:b/>
                                  <w:bCs/>
                                  <w:color w:val="000000" w:themeColor="text1"/>
                                  <w:kern w:val="24"/>
                                  <w:sz w:val="20"/>
                                  <w:szCs w:val="20"/>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773952" y="1508714"/>
                            <a:ext cx="194310" cy="253093"/>
                          </a:xfrm>
                          <a:prstGeom prst="rect">
                            <a:avLst/>
                          </a:prstGeom>
                          <a:noFill/>
                          <a:ln w="25400" cap="flat" cmpd="sng" algn="ctr">
                            <a:noFill/>
                            <a:prstDash val="solid"/>
                          </a:ln>
                          <a:effectLst/>
                        </wps:spPr>
                        <wps:txbx>
                          <w:txbxContent>
                            <w:p w14:paraId="128D7705" w14:textId="77777777" w:rsidR="002536F9" w:rsidRDefault="002536F9" w:rsidP="007701BE">
                              <w:pPr>
                                <w:pStyle w:val="NormalWeb"/>
                                <w:spacing w:before="0" w:beforeAutospacing="0" w:after="0" w:afterAutospacing="0"/>
                                <w:jc w:val="center"/>
                              </w:pPr>
                              <w:r>
                                <w:rPr>
                                  <w:rFonts w:asciiTheme="minorHAnsi" w:hAnsi="Arial" w:cstheme="minorBidi"/>
                                  <w:b/>
                                  <w:bCs/>
                                  <w:color w:val="000000" w:themeColor="text1"/>
                                  <w:kern w:val="24"/>
                                  <w:sz w:val="20"/>
                                  <w:szCs w:val="20"/>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1960877" y="1885496"/>
                            <a:ext cx="194310" cy="253093"/>
                          </a:xfrm>
                          <a:prstGeom prst="rect">
                            <a:avLst/>
                          </a:prstGeom>
                          <a:noFill/>
                          <a:ln w="25400" cap="flat" cmpd="sng" algn="ctr">
                            <a:noFill/>
                            <a:prstDash val="solid"/>
                          </a:ln>
                          <a:effectLst/>
                        </wps:spPr>
                        <wps:txbx>
                          <w:txbxContent>
                            <w:p w14:paraId="38538C6B" w14:textId="77777777" w:rsidR="002536F9" w:rsidRDefault="002536F9" w:rsidP="007701BE">
                              <w:pPr>
                                <w:pStyle w:val="NormalWeb"/>
                                <w:spacing w:before="0" w:beforeAutospacing="0" w:after="0" w:afterAutospacing="0"/>
                                <w:jc w:val="center"/>
                              </w:pPr>
                              <w:r>
                                <w:rPr>
                                  <w:rFonts w:asciiTheme="minorHAnsi" w:hAnsi="Arial" w:cstheme="minorBidi"/>
                                  <w:b/>
                                  <w:bCs/>
                                  <w:color w:val="000000" w:themeColor="text1"/>
                                  <w:kern w:val="24"/>
                                  <w:sz w:val="20"/>
                                  <w:szCs w:val="20"/>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44" name="Straight Connector 19744"/>
                        <wps:cNvCnPr/>
                        <wps:spPr>
                          <a:xfrm>
                            <a:off x="1958566" y="656499"/>
                            <a:ext cx="0" cy="1866902"/>
                          </a:xfrm>
                          <a:prstGeom prst="line">
                            <a:avLst/>
                          </a:prstGeom>
                          <a:noFill/>
                          <a:ln w="12700" cap="flat" cmpd="sng" algn="ctr">
                            <a:solidFill>
                              <a:sysClr val="windowText" lastClr="000000"/>
                            </a:solidFill>
                            <a:prstDash val="solid"/>
                          </a:ln>
                          <a:effectLst/>
                        </wps:spPr>
                        <wps:bodyPr/>
                      </wps:wsp>
                      <wps:wsp>
                        <wps:cNvPr id="19745" name="Straight Connector 19745"/>
                        <wps:cNvCnPr/>
                        <wps:spPr>
                          <a:xfrm rot="5400000">
                            <a:off x="2887844" y="751748"/>
                            <a:ext cx="0" cy="1866902"/>
                          </a:xfrm>
                          <a:prstGeom prst="line">
                            <a:avLst/>
                          </a:prstGeom>
                          <a:noFill/>
                          <a:ln w="12700" cap="flat" cmpd="sng" algn="ctr">
                            <a:solidFill>
                              <a:sysClr val="windowText" lastClr="000000"/>
                            </a:solidFill>
                            <a:prstDash val="solid"/>
                          </a:ln>
                          <a:effectLst/>
                        </wps:spPr>
                        <wps:bodyPr/>
                      </wps:wsp>
                    </wpc:wpc>
                  </a:graphicData>
                </a:graphic>
              </wp:inline>
            </w:drawing>
          </mc:Choice>
          <mc:Fallback>
            <w:pict>
              <v:group id="Canvas 19746" o:spid="_x0000_s1057" editas="canvas" style="width:311.6pt;height:211.4pt;mso-position-horizontal-relative:char;mso-position-vertical-relative:line" coordsize="39573,2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39573;height:26841;visibility:visible;mso-wrap-style:square">
                  <v:fill o:detectmouseclick="t"/>
                  <v:path o:connecttype="none"/>
                </v:shape>
                <v:rect id="Rectangle 19499" o:spid="_x0000_s1059" style="position:absolute;left:337;top:337;width:38698;height:25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beMIA&#10;AADeAAAADwAAAGRycy9kb3ducmV2LnhtbERP32vCMBB+H/g/hBN8m6kiY61GEUEQYQ/r1OejOZti&#10;cylNrJl//TIY7O0+vp+32kTbioF63zhWMJtmIIgrpxuuFZy+9q/vIHxA1tg6JgXf5GGzHr2ssNDu&#10;wZ80lKEWKYR9gQpMCF0hpa8MWfRT1xEn7up6iyHBvpa6x0cKt62cZ9mbtNhwajDY0c5QdSvvVsHR&#10;P+9Dpf1HNNEc8vMle5Z8U2oyjtsliEAx/Iv/3Aed5ueLPIffd9IN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xt4wgAAAN4AAAAPAAAAAAAAAAAAAAAAAJgCAABkcnMvZG93&#10;bnJldi54bWxQSwUGAAAAAAQABAD1AAAAhwMAAAAA&#10;" fillcolor="window" strokecolor="windowText" strokeweight="1pt"/>
                <v:rect id="Rectangle 19500" o:spid="_x0000_s1060" style="position:absolute;left:4255;top:9787;width:12002;height:5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G3sYA&#10;AADeAAAADwAAAGRycy9kb3ducmV2LnhtbESPQU/DMAyF70j8h8hI3Fi6iaFRlk2IDbQTE4UDR6sx&#10;TUXjdE3WZf9+PiBxs+Xn9963XGffqZGG2AY2MJ0UoIjrYFtuDHx9vt4tQMWEbLELTAbOFGG9ur5a&#10;YmnDiT9orFKjxIRjiQZcSn2pdawdeYyT0BPL7ScMHpOsQ6PtgCcx952eFcWD9tiyJDjs6cVR/Vsd&#10;vYHD5n16HBf9VltX3Vf7b69zfjPm9iY/P4FKlNO/+O97Z6X+47wQAMGRGf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rG3sYAAADeAAAADwAAAAAAAAAAAAAAAACYAgAAZHJz&#10;L2Rvd25yZXYueG1sUEsFBgAAAAAEAAQA9QAAAIsDAAAAAA==&#10;" fillcolor="#d9d9d6" stroked="f" strokeweight="2pt">
                  <v:textbox>
                    <w:txbxContent>
                      <w:p w14:paraId="1FA73B68" w14:textId="77777777" w:rsidR="002536F9" w:rsidRPr="00F22A92" w:rsidRDefault="002536F9" w:rsidP="007701BE">
                        <w:pPr>
                          <w:pStyle w:val="NormalWeb"/>
                          <w:spacing w:before="0" w:beforeAutospacing="0" w:after="0" w:afterAutospacing="0"/>
                          <w:jc w:val="center"/>
                          <w:rPr>
                            <w:color w:val="000000" w:themeColor="text1"/>
                          </w:rPr>
                        </w:pPr>
                        <w:r w:rsidRPr="00F22A92">
                          <w:rPr>
                            <w:rFonts w:asciiTheme="minorHAnsi" w:hAnsi="Arial" w:cstheme="minorBidi"/>
                            <w:color w:val="000000" w:themeColor="text1"/>
                            <w:kern w:val="24"/>
                            <w:sz w:val="20"/>
                            <w:szCs w:val="20"/>
                          </w:rPr>
                          <w:t>Consolidated Fund receipt</w:t>
                        </w:r>
                      </w:p>
                    </w:txbxContent>
                  </v:textbox>
                </v:rect>
                <v:rect id="Rectangle 19501" o:spid="_x0000_s1061" style="position:absolute;left:22750;top:18882;width:12002;height:5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jRcQA&#10;AADeAAAADwAAAGRycy9kb3ducmV2LnhtbERPS0sDMRC+C/6HMEJvbXallbo2LWIf9KS49tDjsBk3&#10;i5vJdpNu4783hYK3+fies1hF24qBet84VpBPMhDEldMN1woOX9vxHIQPyBpbx6Tglzyslvd3Cyy0&#10;u/AnDWWoRQphX6ACE0JXSOkrQxb9xHXEift2vcWQYF9L3eMlhdtWPmbZk7TYcGow2NGboeqnPFsF&#10;p/V7fh7m3UZqU07Lj6OVMe6UGj3E1xcQgWL4F9/ce53mP8+yHK7vp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Y0XEAAAA3gAAAA8AAAAAAAAAAAAAAAAAmAIAAGRycy9k&#10;b3ducmV2LnhtbFBLBQYAAAAABAAEAPUAAACJAwAAAAA=&#10;" fillcolor="#d9d9d6" stroked="f" strokeweight="2pt">
                  <v:textbox>
                    <w:txbxContent>
                      <w:p w14:paraId="7F73D219" w14:textId="77777777" w:rsidR="002536F9" w:rsidRPr="00F22A92" w:rsidRDefault="002536F9" w:rsidP="007701BE">
                        <w:pPr>
                          <w:pStyle w:val="NormalWeb"/>
                          <w:spacing w:before="0" w:beforeAutospacing="0" w:after="0" w:afterAutospacing="0"/>
                          <w:jc w:val="center"/>
                          <w:rPr>
                            <w:color w:val="000000" w:themeColor="text1"/>
                          </w:rPr>
                        </w:pPr>
                        <w:r w:rsidRPr="00F22A92">
                          <w:rPr>
                            <w:rFonts w:asciiTheme="minorHAnsi" w:hAnsi="Arial" w:cstheme="minorBidi"/>
                            <w:color w:val="000000" w:themeColor="text1"/>
                            <w:kern w:val="24"/>
                            <w:sz w:val="20"/>
                            <w:szCs w:val="20"/>
                          </w:rPr>
                          <w:t>Operating statement</w:t>
                        </w:r>
                      </w:p>
                    </w:txbxContent>
                  </v:textbox>
                </v:rect>
                <v:rect id="Rectangle 19502" o:spid="_x0000_s1062" style="position:absolute;left:4255;top:18854;width:12002;height:5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9MsQA&#10;AADeAAAADwAAAGRycy9kb3ducmV2LnhtbERPTWsCMRC9F/wPYYTealaxRVejiLWlp4qrB4/DZtws&#10;bibbTVzTf98UCr3N433Och1tI3rqfO1YwXiUgSAuna65UnA6vj3NQPiArLFxTAq+ycN6NXhYYq7d&#10;nQ/UF6ESKYR9jgpMCG0upS8NWfQj1xIn7uI6iyHBrpK6w3sKt42cZNmLtFhzajDY0tZQeS1uVsHX&#10;6+f41s/andSmmBb7s5Uxviv1OIybBYhAMfyL/9wfOs2fP2cT+H0n3S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k/TLEAAAA3gAAAA8AAAAAAAAAAAAAAAAAmAIAAGRycy9k&#10;b3ducmV2LnhtbFBLBQYAAAAABAAEAPUAAACJAwAAAAA=&#10;" fillcolor="#d9d9d6" stroked="f" strokeweight="2pt">
                  <v:textbox>
                    <w:txbxContent>
                      <w:p w14:paraId="2F220007" w14:textId="77777777" w:rsidR="002536F9" w:rsidRPr="00F22A92" w:rsidRDefault="002536F9" w:rsidP="007701BE">
                        <w:pPr>
                          <w:pStyle w:val="NormalWeb"/>
                          <w:spacing w:before="0" w:beforeAutospacing="0" w:after="0" w:afterAutospacing="0"/>
                          <w:jc w:val="center"/>
                          <w:rPr>
                            <w:color w:val="000000" w:themeColor="text1"/>
                          </w:rPr>
                        </w:pPr>
                        <w:r w:rsidRPr="00F22A92">
                          <w:rPr>
                            <w:rFonts w:asciiTheme="minorHAnsi" w:hAnsi="Arial" w:cstheme="minorBidi"/>
                            <w:color w:val="000000" w:themeColor="text1"/>
                            <w:kern w:val="24"/>
                            <w:sz w:val="20"/>
                            <w:szCs w:val="20"/>
                          </w:rPr>
                          <w:t>Appropriation</w:t>
                        </w:r>
                      </w:p>
                    </w:txbxContent>
                  </v:textbox>
                </v:rect>
                <v:rect id="Rectangle 194" o:spid="_x0000_s1063" style="position:absolute;left:22750;top:9787;width:12002;height:5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zpMIA&#10;AADcAAAADwAAAGRycy9kb3ducmV2LnhtbERPTWsCMRC9F/wPYQRv3awiRbdGEaulJ4urhx6HzXSz&#10;dDPZbuKa/ntTKPQ2j/c5q020rRio941jBdMsB0FcOd1wreByPjwuQPiArLF1TAp+yMNmPXpYYaHd&#10;jU80lKEWKYR9gQpMCF0hpa8MWfSZ64gT9+l6iyHBvpa6x1sKt62c5fmTtNhwajDY0c5Q9VVerYLv&#10;l+P0Oiy6vdSmnJfvH1bG+KrUZBy3zyACxfAv/nO/6TR/OYffZ9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0TOkwgAAANwAAAAPAAAAAAAAAAAAAAAAAJgCAABkcnMvZG93&#10;bnJldi54bWxQSwUGAAAAAAQABAD1AAAAhwMAAAAA&#10;" fillcolor="#d9d9d6" stroked="f" strokeweight="2pt">
                  <v:textbox>
                    <w:txbxContent>
                      <w:p w14:paraId="16216746" w14:textId="77777777" w:rsidR="002536F9" w:rsidRPr="00F22A92" w:rsidRDefault="002536F9" w:rsidP="007701BE">
                        <w:pPr>
                          <w:pStyle w:val="NormalWeb"/>
                          <w:spacing w:before="0" w:beforeAutospacing="0" w:after="0" w:afterAutospacing="0"/>
                          <w:jc w:val="center"/>
                          <w:rPr>
                            <w:color w:val="000000" w:themeColor="text1"/>
                          </w:rPr>
                        </w:pPr>
                        <w:r w:rsidRPr="00F22A92">
                          <w:rPr>
                            <w:rFonts w:asciiTheme="minorHAnsi" w:hAnsi="Arial" w:cstheme="minorBidi"/>
                            <w:color w:val="000000" w:themeColor="text1"/>
                            <w:kern w:val="24"/>
                            <w:sz w:val="20"/>
                            <w:szCs w:val="20"/>
                          </w:rPr>
                          <w:t>Receipt</w:t>
                        </w:r>
                      </w:p>
                    </w:txbxContent>
                  </v:textbox>
                </v:rect>
                <v:rect id="Rectangle 195" o:spid="_x0000_s1064" style="position:absolute;left:4255;top:4659;width:12002;height:2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TvMIA&#10;AADcAAAADwAAAGRycy9kb3ducmV2LnhtbERPTWvCQBC9C/6HZYTezMZii0ZXCVJLPdYI4m3Mjkk0&#10;Oxuy2xj/fbdQ8DaP9znLdW9q0VHrKssKJlEMgji3uuJCwSHbjmcgnEfWWFsmBQ9ysF4NB0tMtL3z&#10;N3V7X4gQwi5BBaX3TSKly0sy6CLbEAfuYluDPsC2kLrFewg3tXyN43dpsOLQUGJDm5Ly2/7HKHDn&#10;bpc9mvR4Pbn8nH6wyaa7T6VeRn26AOGp90/xv/tLh/nzN/h7Jl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xO8wgAAANwAAAAPAAAAAAAAAAAAAAAAAJgCAABkcnMvZG93&#10;bnJldi54bWxQSwUGAAAAAAQABAD1AAAAhwMAAAAA&#10;" filled="f" stroked="f" strokeweight="2pt">
                  <v:textbox>
                    <w:txbxContent>
                      <w:p w14:paraId="48E3A3B7" w14:textId="77777777" w:rsidR="002536F9" w:rsidRDefault="002536F9" w:rsidP="007701BE">
                        <w:pPr>
                          <w:pStyle w:val="NormalWeb"/>
                          <w:spacing w:before="0" w:beforeAutospacing="0" w:after="0" w:afterAutospacing="0"/>
                          <w:jc w:val="center"/>
                        </w:pPr>
                        <w:r>
                          <w:rPr>
                            <w:rFonts w:asciiTheme="minorHAnsi" w:hAnsi="Arial" w:cstheme="minorBidi"/>
                            <w:b/>
                            <w:bCs/>
                            <w:color w:val="000000" w:themeColor="text1"/>
                            <w:kern w:val="24"/>
                            <w:sz w:val="20"/>
                            <w:szCs w:val="20"/>
                          </w:rPr>
                          <w:t>Public Account</w:t>
                        </w:r>
                      </w:p>
                    </w:txbxContent>
                  </v:textbox>
                </v:rect>
                <v:rect id="Rectangle 196" o:spid="_x0000_s1065" style="position:absolute;left:22750;top:4696;width:12002;height:2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GNy8EA&#10;AADcAAAADwAAAGRycy9kb3ducmV2LnhtbERPTYvCMBC9C/6HMII3TRWRtWuUIip6XCvI3sZmtu3a&#10;TEoTa/33ZmHB2zze5yzXnalES40rLSuYjCMQxJnVJecKzulu9AHCeWSNlWVS8CQH61W/t8RY2wd/&#10;UXvyuQgh7GJUUHhfx1K6rCCDbmxr4sD92MagD7DJpW7wEcJNJadRNJcGSw4NBda0KSi7ne5Ggbu2&#10;x/RZJ5ffb5ddky2bdHbcKzUcdMknCE+df4v/3Qcd5i/m8PdMu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xjcvBAAAA3AAAAA8AAAAAAAAAAAAAAAAAmAIAAGRycy9kb3du&#10;cmV2LnhtbFBLBQYAAAAABAAEAPUAAACGAwAAAAA=&#10;" filled="f" stroked="f" strokeweight="2pt">
                  <v:textbox>
                    <w:txbxContent>
                      <w:p w14:paraId="5C610B3E" w14:textId="77777777" w:rsidR="002536F9" w:rsidRDefault="002536F9" w:rsidP="007701BE">
                        <w:pPr>
                          <w:pStyle w:val="NormalWeb"/>
                          <w:spacing w:before="0" w:beforeAutospacing="0" w:after="0" w:afterAutospacing="0"/>
                          <w:jc w:val="center"/>
                        </w:pPr>
                        <w:r>
                          <w:rPr>
                            <w:rFonts w:asciiTheme="minorHAnsi" w:hAnsi="Arial" w:cstheme="minorBidi"/>
                            <w:b/>
                            <w:bCs/>
                            <w:color w:val="000000" w:themeColor="text1"/>
                            <w:kern w:val="24"/>
                            <w:sz w:val="20"/>
                            <w:szCs w:val="20"/>
                          </w:rPr>
                          <w:t>Department</w:t>
                        </w:r>
                      </w:p>
                    </w:txbxContent>
                  </v:textbox>
                </v:rect>
                <v:rect id="Rectangle 197" o:spid="_x0000_s1066" style="position:absolute;left:641;top:565;width:12002;height:2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oUMIA&#10;AADcAAAADwAAAGRycy9kb3ducmV2LnhtbERPTWvCQBC9C/6HZYTezMYirUZXCVJLPdYI4m3Mjkk0&#10;Oxuy2xj/fbdQ8DaP9znLdW9q0VHrKssKJlEMgji3uuJCwSHbjmcgnEfWWFsmBQ9ysF4NB0tMtL3z&#10;N3V7X4gQwi5BBaX3TSKly0sy6CLbEAfuYluDPsC2kLrFewg3tXyN4zdpsOLQUGJDm5Ly2/7HKHDn&#10;bpc9mvR4Pbn8nH6wyaa7T6VeRn26AOGp90/xv/tLh/nzd/h7Jl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vShQwgAAANwAAAAPAAAAAAAAAAAAAAAAAJgCAABkcnMvZG93&#10;bnJldi54bWxQSwUGAAAAAAQABAD1AAAAhwMAAAAA&#10;" filled="f" stroked="f" strokeweight="2pt">
                  <v:textbox>
                    <w:txbxContent>
                      <w:p w14:paraId="1E0AD5BE" w14:textId="77777777" w:rsidR="002536F9" w:rsidRDefault="002536F9" w:rsidP="007701BE">
                        <w:pPr>
                          <w:pStyle w:val="NormalWeb"/>
                          <w:spacing w:before="0" w:beforeAutospacing="0" w:after="0" w:afterAutospacing="0"/>
                        </w:pPr>
                        <w:r>
                          <w:rPr>
                            <w:rFonts w:asciiTheme="minorHAnsi" w:hAnsi="Arial" w:cstheme="minorBidi"/>
                            <w:b/>
                            <w:bCs/>
                            <w:color w:val="000000" w:themeColor="text1"/>
                            <w:kern w:val="24"/>
                            <w:sz w:val="20"/>
                            <w:szCs w:val="20"/>
                          </w:rPr>
                          <w:t>Exhibit 1</w:t>
                        </w:r>
                      </w:p>
                    </w:txbxContent>
                  </v:textbox>
                </v:rect>
                <v:rect id="Rectangle 198" o:spid="_x0000_s1067" style="position:absolute;left:32675;top:10940;width:9045;height:278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L1cQA&#10;AADcAAAADwAAAGRycy9kb3ducmV2LnhtbESPQU/DMAyF75P2HyIjcdtShtigLJsCEgLttgJ303ht&#10;ReOUJuu6fz8fkHaz9Z7f+7zejr5VA/WxCWzgbp6BIi6Da7gy8PX5NnsEFROywzYwGThThO1mOllj&#10;7sKJ9zQUqVISwjFHA3VKXa51LGvyGOehIxbtEHqPSda+0q7Hk4T7Vi+ybKk9NiwNNXb0WlP5Wxy9&#10;gd37y9++sTa7fzgM31x1P/ZoV8bc3oz2GVSiMV3N/9cfTvCfhFaekQn0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qS9XEAAAA3AAAAA8AAAAAAAAAAAAAAAAAmAIAAGRycy9k&#10;b3ducmV2LnhtbFBLBQYAAAAABAAEAPUAAACJAwAAAAA=&#10;" filled="f" stroked="f" strokeweight="2pt">
                  <v:textbox inset="1mm,,1mm">
                    <w:txbxContent>
                      <w:p w14:paraId="1A9528AD" w14:textId="77777777" w:rsidR="002536F9" w:rsidRDefault="002536F9" w:rsidP="007701BE">
                        <w:pPr>
                          <w:pStyle w:val="NormalWeb"/>
                          <w:spacing w:before="0" w:beforeAutospacing="0" w:after="0" w:afterAutospacing="0"/>
                          <w:jc w:val="center"/>
                        </w:pPr>
                        <w:r>
                          <w:rPr>
                            <w:rFonts w:asciiTheme="minorHAnsi" w:hAnsi="Arial" w:cstheme="minorBidi"/>
                            <w:b/>
                            <w:bCs/>
                            <w:color w:val="000000" w:themeColor="text1"/>
                            <w:kern w:val="24"/>
                            <w:sz w:val="16"/>
                            <w:szCs w:val="16"/>
                          </w:rPr>
                          <w:t>Administered</w:t>
                        </w:r>
                      </w:p>
                    </w:txbxContent>
                  </v:textbox>
                </v:rect>
                <v:rect id="Rectangle 199" o:spid="_x0000_s1068" style="position:absolute;left:33485;top:20187;width:7308;height:253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buTsEA&#10;AADcAAAADwAAAGRycy9kb3ducmV2LnhtbERPS2vCQBC+C/6HZYTedFOLVVNXWYXS4s3XfZodk9Ds&#10;bMyuMf77rlDwNh/fcxarzlaipcaXjhW8jhIQxJkzJecKjofP4QyED8gGK8ek4E4eVst+b4GpcTfe&#10;UbsPuYgh7FNUUIRQp1L6rCCLfuRq4sidXWMxRNjk0jR4i+G2kuMkeZcWS44NBda0KSj73V+tgu3X&#10;+rIrtU7eJuf2xHn9o696qtTLoNMfIAJ14Sn+d3+bOH8+h8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m7k7BAAAA3AAAAA8AAAAAAAAAAAAAAAAAmAIAAGRycy9kb3du&#10;cmV2LnhtbFBLBQYAAAAABAAEAPUAAACGAwAAAAA=&#10;" filled="f" stroked="f" strokeweight="2pt">
                  <v:textbox inset="1mm,,1mm">
                    <w:txbxContent>
                      <w:p w14:paraId="0D937B24" w14:textId="77777777" w:rsidR="002536F9" w:rsidRDefault="002536F9" w:rsidP="007701BE">
                        <w:pPr>
                          <w:pStyle w:val="NormalWeb"/>
                          <w:spacing w:before="0" w:beforeAutospacing="0" w:after="0" w:afterAutospacing="0"/>
                          <w:jc w:val="center"/>
                        </w:pPr>
                        <w:r>
                          <w:rPr>
                            <w:rFonts w:asciiTheme="minorHAnsi" w:hAnsi="Arial" w:cstheme="minorBidi"/>
                            <w:b/>
                            <w:bCs/>
                            <w:color w:val="000000" w:themeColor="text1"/>
                            <w:kern w:val="24"/>
                            <w:sz w:val="16"/>
                            <w:szCs w:val="16"/>
                          </w:rPr>
                          <w:t>Controlled</w:t>
                        </w:r>
                      </w:p>
                    </w:txbxContent>
                  </v:textbox>
                </v:rect>
                <v:line id="Straight Connector 200" o:spid="_x0000_s1069" style="position:absolute;visibility:visible;mso-wrap-style:square" from="10256,14849" to="10256,1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9K8EAAADcAAAADwAAAGRycy9kb3ducmV2LnhtbESPQYvCMBSE7wv+h/AEb2uqgkptFBEX&#10;ZG9W0eujebalzUtpsrb66zeC4HGYmW+YZNObWtypdaVlBZNxBII4s7rkXMH59PO9BOE8ssbaMil4&#10;kIPNevCVYKxtx0e6pz4XAcIuRgWF900spcsKMujGtiEO3s22Bn2QbS51i12Am1pOo2guDZYcFgps&#10;aFdQVqV/RkG32C8u+1s6vVS/HUeza3144kSp0bDfrkB46v0n/G4ftIJAhNeZcAT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6z0rwQAAANwAAAAPAAAAAAAAAAAAAAAA&#10;AKECAABkcnMvZG93bnJldi54bWxQSwUGAAAAAAQABAD5AAAAjwMAAAAA&#10;" strokecolor="windowText" strokeweight="1pt">
                  <v:stroke endarrow="classic" endarrowlength="long"/>
                </v:line>
                <v:line id="Straight Connector 201" o:spid="_x0000_s1070" style="position:absolute;visibility:visible;mso-wrap-style:square" from="16257,21385" to="22750,21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eYsMMAAADcAAAADwAAAGRycy9kb3ducmV2LnhtbESPQWvCQBSE7wX/w/IEb3U3EbREVxGx&#10;IL0Zi14f2WcSzL4N2a1J++u7guBxmJlvmNVmsI24U+drxxqSqQJBXDhTc6nh+/T5/gHCB2SDjWPS&#10;8EseNuvR2woz43o+0j0PpYgQ9hlqqEJoMyl9UZFFP3UtcfSurrMYouxKaTrsI9w2MlVqLi3WHBcq&#10;bGlXUXHLf6yGfrFfnPfXPD3fvnpWs0tz+MNE68l42C5BBBrCK/xsH4yGVCXwO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nmLDDAAAA3AAAAA8AAAAAAAAAAAAA&#10;AAAAoQIAAGRycy9kb3ducmV2LnhtbFBLBQYAAAAABAAEAPkAAACRAwAAAAA=&#10;" strokecolor="windowText" strokeweight="1pt">
                  <v:stroke endarrow="classic" endarrowlength="long"/>
                </v:line>
                <v:line id="Straight Connector 202" o:spid="_x0000_s1071" style="position:absolute;flip:x;visibility:visible;mso-wrap-style:square" from="16257,12318" to="22750,1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nXuMcAAADcAAAADwAAAGRycy9kb3ducmV2LnhtbESPQWvCQBSE70L/w/IKvZlNI6hNXcWK&#10;rR48tDY99PbIPpPQ7NuQ3Wrir3cFweMwM98ws0VnanGk1lWWFTxHMQji3OqKCwXZ9/twCsJ5ZI21&#10;ZVLQk4PF/GEww1TbE3/Rce8LESDsUlRQet+kUrq8JIMusg1x8A62NeiDbAupWzwFuKllEsdjabDi&#10;sFBiQ6uS8r/9v1Hws3vbLPV08rt+6bMsP3+MPg/9SKmnx275CsJT5+/hW3urFSRxAtcz4QjI+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ude4xwAAANwAAAAPAAAAAAAA&#10;AAAAAAAAAKECAABkcnMvZG93bnJldi54bWxQSwUGAAAAAAQABAD5AAAAlQMAAAAA&#10;" strokecolor="windowText" strokeweight="1pt">
                  <v:stroke endarrow="classic" endarrowlength="long"/>
                </v:line>
                <v:rect id="Rectangle 203" o:spid="_x0000_s1072" style="position:absolute;left:19504;top:9704;width:1943;height:2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naqMUA&#10;AADcAAAADwAAAGRycy9kb3ducmV2LnhtbESPQWvCQBSE70L/w/IK3sxGK1JSVwliizk2KZTeXrKv&#10;SWr2bchuY/z3bkHocZiZb5jtfjKdGGlwrWUFyygGQVxZ3XKt4KN4XTyDcB5ZY2eZFFzJwX73MNti&#10;ou2F32nMfS0ChF2CChrv+0RKVzVk0EW2Jw7etx0M+iCHWuoBLwFuOrmK44002HJYaLCnQ0PVOf81&#10;Clw5ZsW1Tz9/vlxVpkc2xTp7U2r+OKUvIDxN/j98b5+0glX8BH9nwhG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dqoxQAAANwAAAAPAAAAAAAAAAAAAAAAAJgCAABkcnMv&#10;ZG93bnJldi54bWxQSwUGAAAAAAQABAD1AAAAigMAAAAA&#10;" filled="f" stroked="f" strokeweight="2pt">
                  <v:textbox>
                    <w:txbxContent>
                      <w:p w14:paraId="7112F66B" w14:textId="77777777" w:rsidR="002536F9" w:rsidRDefault="002536F9" w:rsidP="007701BE">
                        <w:pPr>
                          <w:pStyle w:val="NormalWeb"/>
                          <w:spacing w:before="0" w:beforeAutospacing="0" w:after="0" w:afterAutospacing="0"/>
                          <w:jc w:val="center"/>
                        </w:pPr>
                        <w:r>
                          <w:rPr>
                            <w:rFonts w:asciiTheme="minorHAnsi" w:hAnsi="Arial" w:cstheme="minorBidi"/>
                            <w:b/>
                            <w:bCs/>
                            <w:color w:val="000000" w:themeColor="text1"/>
                            <w:kern w:val="24"/>
                            <w:sz w:val="20"/>
                            <w:szCs w:val="20"/>
                          </w:rPr>
                          <w:t>A</w:t>
                        </w:r>
                      </w:p>
                    </w:txbxContent>
                  </v:textbox>
                </v:rect>
                <v:rect id="Rectangle 222" o:spid="_x0000_s1073" style="position:absolute;left:7739;top:15087;width:1943;height:2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AjU8MA&#10;AADcAAAADwAAAGRycy9kb3ducmV2LnhtbESPQYvCMBSE7wv+h/CEva2pRRapRimiose1gnh7Ns+2&#10;2ryUJtb67zcLCx6HmfmGmS97U4uOWldZVjAeRSCIc6srLhQcs83XFITzyBpry6TgRQ6Wi8HHHBNt&#10;n/xD3cEXIkDYJaig9L5JpHR5SQbdyDbEwbva1qAPsi2kbvEZ4KaWcRR9S4MVh4USG1qVlN8PD6PA&#10;Xbp99mrS0+3s8ku6ZpNN9lulPod9OgPhqffv8H97pxXEcQx/Z8IR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AjU8MAAADcAAAADwAAAAAAAAAAAAAAAACYAgAAZHJzL2Rv&#10;d25yZXYueG1sUEsFBgAAAAAEAAQA9QAAAIgDAAAAAA==&#10;" filled="f" stroked="f" strokeweight="2pt">
                  <v:textbox>
                    <w:txbxContent>
                      <w:p w14:paraId="128D7705" w14:textId="77777777" w:rsidR="002536F9" w:rsidRDefault="002536F9" w:rsidP="007701BE">
                        <w:pPr>
                          <w:pStyle w:val="NormalWeb"/>
                          <w:spacing w:before="0" w:beforeAutospacing="0" w:after="0" w:afterAutospacing="0"/>
                          <w:jc w:val="center"/>
                        </w:pPr>
                        <w:r>
                          <w:rPr>
                            <w:rFonts w:asciiTheme="minorHAnsi" w:hAnsi="Arial" w:cstheme="minorBidi"/>
                            <w:b/>
                            <w:bCs/>
                            <w:color w:val="000000" w:themeColor="text1"/>
                            <w:kern w:val="24"/>
                            <w:sz w:val="20"/>
                            <w:szCs w:val="20"/>
                          </w:rPr>
                          <w:t>B</w:t>
                        </w:r>
                      </w:p>
                    </w:txbxContent>
                  </v:textbox>
                </v:rect>
                <v:rect id="Rectangle 223" o:spid="_x0000_s1074" style="position:absolute;left:19608;top:18854;width:1943;height:2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GyMQA&#10;AADcAAAADwAAAGRycy9kb3ducmV2LnhtbESPQWvCQBSE74X+h+UVvNVNUykS3YRQatGjpiDentln&#10;Ept9G7JrjP/eFQo9DjPzDbPMRtOKgXrXWFbwNo1AEJdWN1wp+ClWr3MQziNrbC2Tghs5yNLnpyUm&#10;2l55S8POVyJA2CWooPa+S6R0ZU0G3dR2xME72d6gD7KvpO7xGuCmlXEUfUiDDYeFGjv6rKn83V2M&#10;AnccNsWty/fngyuP+RebYrb5VmryMuYLEJ5G/x/+a6+1gjh+h8eZcAR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chsjEAAAA3AAAAA8AAAAAAAAAAAAAAAAAmAIAAGRycy9k&#10;b3ducmV2LnhtbFBLBQYAAAAABAAEAPUAAACJAwAAAAA=&#10;" filled="f" stroked="f" strokeweight="2pt">
                  <v:textbox>
                    <w:txbxContent>
                      <w:p w14:paraId="38538C6B" w14:textId="77777777" w:rsidR="002536F9" w:rsidRDefault="002536F9" w:rsidP="007701BE">
                        <w:pPr>
                          <w:pStyle w:val="NormalWeb"/>
                          <w:spacing w:before="0" w:beforeAutospacing="0" w:after="0" w:afterAutospacing="0"/>
                          <w:jc w:val="center"/>
                        </w:pPr>
                        <w:r>
                          <w:rPr>
                            <w:rFonts w:asciiTheme="minorHAnsi" w:hAnsi="Arial" w:cstheme="minorBidi"/>
                            <w:b/>
                            <w:bCs/>
                            <w:color w:val="000000" w:themeColor="text1"/>
                            <w:kern w:val="24"/>
                            <w:sz w:val="20"/>
                            <w:szCs w:val="20"/>
                          </w:rPr>
                          <w:t>C</w:t>
                        </w:r>
                      </w:p>
                    </w:txbxContent>
                  </v:textbox>
                </v:rect>
                <v:line id="Straight Connector 19744" o:spid="_x0000_s1075" style="position:absolute;visibility:visible;mso-wrap-style:square" from="19585,6564" to="19585,2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vTbsIAAADeAAAADwAAAGRycy9kb3ducmV2LnhtbERPzWrCQBC+F3yHZYTe6sYSbZq6ShCE&#10;XBP7ANPsNBvMzsbsVpO37wqF3ubj+53dYbK9uNHoO8cK1qsEBHHjdMetgs/z6SUD4QOyxt4xKZjJ&#10;w2G/eNphrt2dK7rVoRUxhH2OCkwIQy6lbwxZ9Cs3EEfu240WQ4RjK/WI9xhue/maJFtpsePYYHCg&#10;o6HmUv9YBZmsZ5Q+VOZ66Yq+yYpN+VUo9bycig8QgabwL/5zlzrOf39LU3i8E2+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vTbsIAAADeAAAADwAAAAAAAAAAAAAA&#10;AAChAgAAZHJzL2Rvd25yZXYueG1sUEsFBgAAAAAEAAQA+QAAAJADAAAAAA==&#10;" strokecolor="windowText" strokeweight="1pt"/>
                <v:line id="Straight Connector 19745" o:spid="_x0000_s1076" style="position:absolute;rotation:90;visibility:visible;mso-wrap-style:square" from="28878,7516" to="28878,2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Ce2cQAAADeAAAADwAAAGRycy9kb3ducmV2LnhtbERPyWrDMBC9F/IPYgK91XKXLHWjhCS0&#10;EEgOWfwBgzVeWmtkLMV2/74qBHKbx1tnsRpMLTpqXWVZwXMUgyDOrK64UJBevp7mIJxH1lhbJgW/&#10;5GC1HD0sMNG25xN1Z1+IEMIuQQWl900ipctKMugi2xAHLretQR9gW0jdYh/CTS1f4ngqDVYcGkps&#10;aFtS9nO+GgXfR87lwR12m77en7RJ7Wf3apV6HA/rDxCeBn8X39w7Hea/z94m8P9OuEE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J7ZxAAAAN4AAAAPAAAAAAAAAAAA&#10;AAAAAKECAABkcnMvZG93bnJldi54bWxQSwUGAAAAAAQABAD5AAAAkgMAAAAA&#10;" strokecolor="windowText" strokeweight="1pt"/>
                <w10:anchorlock/>
              </v:group>
            </w:pict>
          </mc:Fallback>
        </mc:AlternateContent>
      </w:r>
    </w:p>
    <w:p w14:paraId="2BC60EE3" w14:textId="77777777" w:rsidR="007701BE" w:rsidRPr="00373BB7" w:rsidRDefault="007701BE" w:rsidP="007701BE">
      <w:pPr>
        <w:spacing w:before="0" w:after="0" w:line="120" w:lineRule="atLeast"/>
        <w:rPr>
          <w:rFonts w:eastAsia="Times New Roman" w:cs="Calibri"/>
          <w:spacing w:val="0"/>
          <w:sz w:val="10"/>
          <w:szCs w:val="22"/>
          <w:lang w:eastAsia="en-US"/>
        </w:rPr>
      </w:pPr>
    </w:p>
    <w:p w14:paraId="6835F5CD" w14:textId="5C8862F7" w:rsidR="007701BE" w:rsidRPr="00373BB7" w:rsidRDefault="007701BE" w:rsidP="007701BE">
      <w:pPr>
        <w:spacing w:line="252" w:lineRule="auto"/>
        <w:ind w:left="792"/>
      </w:pPr>
      <w:r w:rsidRPr="00373BB7">
        <w:rPr>
          <w:b/>
        </w:rPr>
        <w:t>Step A:</w:t>
      </w:r>
      <w:r w:rsidRPr="00373BB7">
        <w:t xml:space="preserve"> All cash received by a Department is recognised as administered and is required under </w:t>
      </w:r>
      <w:r w:rsidR="001569BD">
        <w:t>s</w:t>
      </w:r>
      <w:r w:rsidRPr="00373BB7">
        <w:t xml:space="preserve">ection 9 of the FMA to be paid into the </w:t>
      </w:r>
      <w:r w:rsidR="00745BA1">
        <w:t>Consolidated Fund</w:t>
      </w:r>
      <w:r w:rsidRPr="00373BB7">
        <w:t>.</w:t>
      </w:r>
      <w:r w:rsidR="00C024A4">
        <w:t xml:space="preserve"> Normal accounting standards are applicable in relation to revenue recognition by the State.</w:t>
      </w:r>
    </w:p>
    <w:p w14:paraId="7923A36B" w14:textId="595A43C0" w:rsidR="007701BE" w:rsidRPr="00373BB7" w:rsidRDefault="007701BE" w:rsidP="007701BE">
      <w:pPr>
        <w:spacing w:line="252" w:lineRule="auto"/>
        <w:ind w:left="792"/>
      </w:pPr>
      <w:r w:rsidRPr="00373BB7">
        <w:rPr>
          <w:b/>
        </w:rPr>
        <w:t>Step B:</w:t>
      </w:r>
      <w:r w:rsidRPr="00373BB7">
        <w:t xml:space="preserve"> If the revenue relates to user charges, Commonwealth grants</w:t>
      </w:r>
      <w:r>
        <w:t>,</w:t>
      </w:r>
      <w:r w:rsidRPr="00373BB7">
        <w:t xml:space="preserve"> and</w:t>
      </w:r>
      <w:r>
        <w:t>/or</w:t>
      </w:r>
      <w:r w:rsidRPr="00373BB7">
        <w:t xml:space="preserve"> sales of non</w:t>
      </w:r>
      <w:r w:rsidRPr="00373BB7">
        <w:noBreakHyphen/>
        <w:t xml:space="preserve">current physical assets, </w:t>
      </w:r>
      <w:r w:rsidR="00C024A4">
        <w:t xml:space="preserve">and a </w:t>
      </w:r>
      <w:r w:rsidR="001569BD">
        <w:t>s</w:t>
      </w:r>
      <w:r w:rsidRPr="00373BB7">
        <w:t xml:space="preserve">ection 29 </w:t>
      </w:r>
      <w:r w:rsidR="001569BD">
        <w:t>a</w:t>
      </w:r>
      <w:r w:rsidR="00C024A4">
        <w:t>greement is in place, the</w:t>
      </w:r>
      <w:r w:rsidRPr="00373BB7">
        <w:t xml:space="preserve"> </w:t>
      </w:r>
      <w:r w:rsidR="00C024A4">
        <w:t xml:space="preserve">relevant </w:t>
      </w:r>
      <w:r w:rsidRPr="00373BB7">
        <w:t xml:space="preserve">appropriation </w:t>
      </w:r>
      <w:r w:rsidR="00C024A4">
        <w:t>item is increased accordingly</w:t>
      </w:r>
      <w:r w:rsidRPr="00373BB7">
        <w:t>.</w:t>
      </w:r>
    </w:p>
    <w:p w14:paraId="4C583541" w14:textId="6DCBA612" w:rsidR="00A14828" w:rsidRPr="00373BB7" w:rsidRDefault="007701BE" w:rsidP="00CF4ABD">
      <w:pPr>
        <w:spacing w:line="252" w:lineRule="auto"/>
        <w:ind w:left="792"/>
      </w:pPr>
      <w:r w:rsidRPr="00373BB7">
        <w:rPr>
          <w:b/>
        </w:rPr>
        <w:t>Step C:</w:t>
      </w:r>
      <w:r w:rsidRPr="00373BB7">
        <w:t xml:space="preserve"> </w:t>
      </w:r>
      <w:r w:rsidR="00EC1787">
        <w:t>T</w:t>
      </w:r>
      <w:r w:rsidRPr="00373BB7">
        <w:t>he Treasurer may apply the appropriation. The Department then recognises the revenue as controlled.</w:t>
      </w:r>
      <w:r w:rsidRPr="00373BB7">
        <w:rPr>
          <w:vertAlign w:val="superscript"/>
        </w:rPr>
        <w:footnoteReference w:id="13"/>
      </w:r>
    </w:p>
    <w:p w14:paraId="6EFFD7A0" w14:textId="77777777" w:rsidR="00373BB7" w:rsidRPr="00A14828" w:rsidRDefault="00E82AA3" w:rsidP="00B47296">
      <w:pPr>
        <w:pStyle w:val="Heading2indent"/>
      </w:pPr>
      <w:r w:rsidRPr="00A14828">
        <w:t xml:space="preserve">Additional </w:t>
      </w:r>
      <w:r w:rsidR="00373BB7" w:rsidRPr="00A14828">
        <w:t xml:space="preserve">information on </w:t>
      </w:r>
      <w:r w:rsidRPr="00A14828">
        <w:t>specific</w:t>
      </w:r>
      <w:r w:rsidR="00373BB7" w:rsidRPr="00A14828">
        <w:t xml:space="preserve"> Section 29 revenue </w:t>
      </w:r>
      <w:r w:rsidRPr="00A14828">
        <w:t>classes</w:t>
      </w:r>
      <w:r w:rsidR="00133C11" w:rsidRPr="00A14828">
        <w:t xml:space="preserve"> </w:t>
      </w:r>
    </w:p>
    <w:p w14:paraId="68000D3C" w14:textId="6691C337" w:rsidR="00E82AA3" w:rsidRPr="00373BB7" w:rsidRDefault="00A14828" w:rsidP="000B672C">
      <w:pPr>
        <w:pStyle w:val="Heading3indent"/>
      </w:pPr>
      <w:r>
        <w:t xml:space="preserve">Specific purpose payments from the Commonwealth (Mandatory </w:t>
      </w:r>
      <w:r w:rsidR="004B378B">
        <w:t>r</w:t>
      </w:r>
      <w:r w:rsidR="00B47296">
        <w:t>equirement </w:t>
      </w:r>
      <w:r>
        <w:t>1.1.1)</w:t>
      </w:r>
    </w:p>
    <w:p w14:paraId="6508973A" w14:textId="77777777" w:rsidR="00E82AA3" w:rsidRPr="00B47296" w:rsidRDefault="00E82AA3" w:rsidP="00B47296">
      <w:pPr>
        <w:pStyle w:val="Heading4indent"/>
      </w:pPr>
      <w:r w:rsidRPr="00A14828">
        <w:t>Eligibility</w:t>
      </w:r>
    </w:p>
    <w:p w14:paraId="159E8382" w14:textId="7353A0EF" w:rsidR="00E82AA3" w:rsidRPr="00373BB7" w:rsidRDefault="00E82AA3" w:rsidP="00E82AA3">
      <w:pPr>
        <w:spacing w:line="252" w:lineRule="auto"/>
        <w:ind w:left="792"/>
      </w:pPr>
      <w:r w:rsidRPr="00373BB7">
        <w:t xml:space="preserve">The Commonwealth Government provides grants to the States for </w:t>
      </w:r>
      <w:r>
        <w:t>sp</w:t>
      </w:r>
      <w:r w:rsidRPr="00373BB7">
        <w:t xml:space="preserve">ecific purposes under </w:t>
      </w:r>
      <w:r w:rsidR="00D76128">
        <w:t>s</w:t>
      </w:r>
      <w:r w:rsidRPr="00373BB7">
        <w:t>ection 96 of the Commonwealth Constitution.</w:t>
      </w:r>
    </w:p>
    <w:p w14:paraId="7D27DA3B" w14:textId="6A51DC32" w:rsidR="00E82AA3" w:rsidRDefault="00E82AA3" w:rsidP="00E82AA3">
      <w:pPr>
        <w:spacing w:line="252" w:lineRule="auto"/>
        <w:ind w:left="792"/>
      </w:pPr>
      <w:r>
        <w:t xml:space="preserve">Section 29 </w:t>
      </w:r>
      <w:r w:rsidR="00D76128">
        <w:t>a</w:t>
      </w:r>
      <w:r>
        <w:t xml:space="preserve">greements for </w:t>
      </w:r>
      <w:r w:rsidRPr="00E82AA3">
        <w:t>Commonwealth grants received for specific purposes</w:t>
      </w:r>
      <w:r>
        <w:t xml:space="preserve"> </w:t>
      </w:r>
      <w:r w:rsidR="007701BE">
        <w:t xml:space="preserve">are </w:t>
      </w:r>
      <w:r>
        <w:t xml:space="preserve">arranged </w:t>
      </w:r>
      <w:r w:rsidR="007701BE">
        <w:t xml:space="preserve">at the start of each </w:t>
      </w:r>
      <w:r>
        <w:t>financial year</w:t>
      </w:r>
      <w:r w:rsidR="007701BE">
        <w:t>, or upon the receipt of the grants from the Commonwealth.</w:t>
      </w:r>
    </w:p>
    <w:p w14:paraId="0BEE47B7" w14:textId="77777777" w:rsidR="00B47296" w:rsidRDefault="00B47296">
      <w:pPr>
        <w:spacing w:before="0" w:after="200"/>
      </w:pPr>
      <w:r>
        <w:br w:type="page"/>
      </w:r>
    </w:p>
    <w:p w14:paraId="7CEBF8A0" w14:textId="05D65E5A" w:rsidR="00E82AA3" w:rsidRDefault="00E82AA3" w:rsidP="007701BE">
      <w:pPr>
        <w:spacing w:line="252" w:lineRule="auto"/>
        <w:ind w:left="794"/>
      </w:pPr>
      <w:r>
        <w:lastRenderedPageBreak/>
        <w:t xml:space="preserve">There are </w:t>
      </w:r>
      <w:r w:rsidR="00EC1787">
        <w:t xml:space="preserve">currently </w:t>
      </w:r>
      <w:r>
        <w:t>two types of tied Commonwealth grants for specific purposes: Specific Purpose Payments (SPPs) and National Partnership Payments (NPs).</w:t>
      </w:r>
      <w:r>
        <w:rPr>
          <w:rStyle w:val="FootnoteReference"/>
        </w:rPr>
        <w:footnoteReference w:id="14"/>
      </w:r>
      <w:r>
        <w:t xml:space="preserve"> These grants are received into the Consolidated Fund first (with the exception of Health Reform grants)</w:t>
      </w:r>
      <w:r w:rsidR="00EC1787">
        <w:t xml:space="preserve"> and </w:t>
      </w:r>
      <w:r w:rsidR="00EC4D43">
        <w:t xml:space="preserve">then </w:t>
      </w:r>
      <w:r w:rsidR="00EC1787">
        <w:t>appropriated</w:t>
      </w:r>
      <w:r>
        <w:t>.</w:t>
      </w:r>
    </w:p>
    <w:p w14:paraId="03AE013F" w14:textId="0236560A" w:rsidR="00E82AA3" w:rsidRPr="00373BB7" w:rsidRDefault="00E82AA3" w:rsidP="00E82AA3">
      <w:pPr>
        <w:spacing w:line="252" w:lineRule="auto"/>
        <w:ind w:left="792"/>
      </w:pPr>
      <w:r>
        <w:t>Commonwealth grants</w:t>
      </w:r>
      <w:r w:rsidRPr="00373BB7">
        <w:t xml:space="preserve"> that do </w:t>
      </w:r>
      <w:r w:rsidRPr="00E82AA3">
        <w:rPr>
          <w:b/>
        </w:rPr>
        <w:t>not</w:t>
      </w:r>
      <w:r w:rsidRPr="00373BB7">
        <w:t xml:space="preserve"> qualify for </w:t>
      </w:r>
      <w:r>
        <w:t xml:space="preserve">a </w:t>
      </w:r>
      <w:r w:rsidR="00EC4D43">
        <w:t>s</w:t>
      </w:r>
      <w:r w:rsidRPr="00373BB7">
        <w:t xml:space="preserve">ection 29 </w:t>
      </w:r>
      <w:r w:rsidR="00EC4D43">
        <w:t>a</w:t>
      </w:r>
      <w:r w:rsidRPr="00373BB7">
        <w:t>greement include:</w:t>
      </w:r>
    </w:p>
    <w:p w14:paraId="45728FC0" w14:textId="67C764B7" w:rsidR="00E82AA3" w:rsidRPr="00373BB7" w:rsidRDefault="00E82AA3" w:rsidP="00E82AA3">
      <w:pPr>
        <w:numPr>
          <w:ilvl w:val="2"/>
          <w:numId w:val="1"/>
        </w:numPr>
        <w:spacing w:before="100" w:line="240" w:lineRule="auto"/>
        <w:contextualSpacing/>
        <w:rPr>
          <w:rFonts w:eastAsia="Times New Roman" w:cs="Calibri"/>
        </w:rPr>
      </w:pPr>
      <w:r w:rsidRPr="00373BB7">
        <w:rPr>
          <w:rFonts w:eastAsia="Times New Roman" w:cs="Calibri"/>
        </w:rPr>
        <w:t xml:space="preserve">grants provided for on-passing paid directly into a trust account, including the </w:t>
      </w:r>
      <w:r w:rsidRPr="00591A0D">
        <w:rPr>
          <w:rFonts w:eastAsia="Times New Roman" w:cs="Calibri"/>
          <w:i/>
        </w:rPr>
        <w:t>National Health Reform Agreement</w:t>
      </w:r>
      <w:r w:rsidR="00EC4D43">
        <w:rPr>
          <w:rFonts w:eastAsia="Times New Roman" w:cs="Calibri"/>
          <w:i/>
        </w:rPr>
        <w:t>,</w:t>
      </w:r>
      <w:r w:rsidRPr="00373BB7">
        <w:rPr>
          <w:rFonts w:eastAsia="Times New Roman" w:cs="Calibri"/>
        </w:rPr>
        <w:t xml:space="preserve"> which is subject to a separate process; </w:t>
      </w:r>
      <w:r w:rsidR="007701BE">
        <w:rPr>
          <w:rFonts w:eastAsia="Times New Roman" w:cs="Calibri"/>
        </w:rPr>
        <w:t>and</w:t>
      </w:r>
    </w:p>
    <w:p w14:paraId="570185A0" w14:textId="77777777" w:rsidR="00E82AA3" w:rsidRPr="007701BE" w:rsidRDefault="00E82AA3" w:rsidP="007701BE">
      <w:pPr>
        <w:numPr>
          <w:ilvl w:val="2"/>
          <w:numId w:val="1"/>
        </w:numPr>
        <w:spacing w:before="100" w:line="240" w:lineRule="auto"/>
        <w:ind w:left="1151" w:hanging="357"/>
        <w:rPr>
          <w:rFonts w:eastAsia="Times New Roman" w:cs="Calibri"/>
        </w:rPr>
      </w:pPr>
      <w:r w:rsidRPr="00373BB7">
        <w:rPr>
          <w:rFonts w:eastAsia="Times New Roman" w:cs="Calibri"/>
        </w:rPr>
        <w:t>general purpose grants paid into</w:t>
      </w:r>
      <w:r w:rsidR="007701BE">
        <w:rPr>
          <w:rFonts w:eastAsia="Times New Roman" w:cs="Calibri"/>
        </w:rPr>
        <w:t xml:space="preserve"> the Consolidated Fund.</w:t>
      </w:r>
      <w:r w:rsidR="003D7E19" w:rsidRPr="003D7E19">
        <w:rPr>
          <w:rStyle w:val="FootnoteReference"/>
        </w:rPr>
        <w:t xml:space="preserve"> </w:t>
      </w:r>
      <w:r w:rsidR="003D7E19">
        <w:rPr>
          <w:rStyle w:val="FootnoteReference"/>
        </w:rPr>
        <w:footnoteReference w:id="15"/>
      </w:r>
    </w:p>
    <w:p w14:paraId="707032E6" w14:textId="0E29D9E7" w:rsidR="00E82AA3" w:rsidRPr="00373BB7" w:rsidRDefault="00E82AA3" w:rsidP="007701BE">
      <w:pPr>
        <w:spacing w:line="252" w:lineRule="auto"/>
        <w:ind w:left="792"/>
      </w:pPr>
      <w:r w:rsidRPr="00373BB7">
        <w:t xml:space="preserve">Not all specific purpose </w:t>
      </w:r>
      <w:r>
        <w:t>payments</w:t>
      </w:r>
      <w:r w:rsidRPr="00373BB7">
        <w:t xml:space="preserve"> are for State budget programs. A substantial proportion of these are for on-passing to </w:t>
      </w:r>
      <w:r>
        <w:t>other parties</w:t>
      </w:r>
      <w:r w:rsidRPr="00373BB7">
        <w:t xml:space="preserve"> such as non-</w:t>
      </w:r>
      <w:r w:rsidR="00EC4D43">
        <w:t>g</w:t>
      </w:r>
      <w:r w:rsidRPr="00373BB7">
        <w:t xml:space="preserve">overnment schools and local </w:t>
      </w:r>
      <w:r w:rsidR="00EC4D43">
        <w:t>g</w:t>
      </w:r>
      <w:r w:rsidRPr="00373BB7">
        <w:t>overnment authorities. In such cases the State simply acts as a vehicle for distributing the Commonwealth funds via a trust account in the Trust Fund.</w:t>
      </w:r>
      <w:r w:rsidR="00EC1787">
        <w:t xml:space="preserve"> In addition, a number of other relatively small Commonwealth grants are paid direct to specific trust accounts in the Trust Fund and similarly are not subject to appropriation.</w:t>
      </w:r>
    </w:p>
    <w:p w14:paraId="1B5D915A" w14:textId="77777777" w:rsidR="00E82AA3" w:rsidRPr="00373BB7" w:rsidRDefault="00E82AA3" w:rsidP="00B47296">
      <w:pPr>
        <w:pStyle w:val="Heading4indent"/>
      </w:pPr>
      <w:r w:rsidRPr="00373BB7">
        <w:t>Application</w:t>
      </w:r>
    </w:p>
    <w:p w14:paraId="6F9DDD78" w14:textId="56D021E0" w:rsidR="00E82AA3" w:rsidRPr="00373BB7" w:rsidRDefault="00E82AA3" w:rsidP="00E82AA3">
      <w:pPr>
        <w:spacing w:line="252" w:lineRule="auto"/>
        <w:ind w:left="792"/>
      </w:pPr>
      <w:r w:rsidRPr="00373BB7">
        <w:t xml:space="preserve">Commonwealth </w:t>
      </w:r>
      <w:r w:rsidR="00133C11">
        <w:t>grants received</w:t>
      </w:r>
      <w:r>
        <w:t xml:space="preserve"> for s</w:t>
      </w:r>
      <w:r w:rsidRPr="00373BB7">
        <w:t xml:space="preserve">pecific </w:t>
      </w:r>
      <w:r>
        <w:t>p</w:t>
      </w:r>
      <w:r w:rsidRPr="00373BB7">
        <w:t>urpose</w:t>
      </w:r>
      <w:r>
        <w:t>s</w:t>
      </w:r>
      <w:r w:rsidRPr="00373BB7">
        <w:t xml:space="preserve"> </w:t>
      </w:r>
      <w:r w:rsidR="003D7E19">
        <w:t xml:space="preserve">(SPPs or NPs) </w:t>
      </w:r>
      <w:r w:rsidR="00133C11">
        <w:t xml:space="preserve">that are </w:t>
      </w:r>
      <w:r w:rsidRPr="00373BB7">
        <w:t xml:space="preserve">paid to the Consolidated Fund </w:t>
      </w:r>
      <w:r w:rsidR="004A73DF">
        <w:t xml:space="preserve">are to be </w:t>
      </w:r>
      <w:r w:rsidRPr="00373BB7">
        <w:t xml:space="preserve">included in </w:t>
      </w:r>
      <w:r w:rsidR="004B378B">
        <w:t>s</w:t>
      </w:r>
      <w:r w:rsidRPr="00373BB7">
        <w:t xml:space="preserve">ection 29 </w:t>
      </w:r>
      <w:r w:rsidR="004B378B">
        <w:t>a</w:t>
      </w:r>
      <w:r w:rsidRPr="00373BB7">
        <w:t xml:space="preserve">greements. </w:t>
      </w:r>
      <w:r w:rsidR="00133C11">
        <w:t>Commonwealth g</w:t>
      </w:r>
      <w:r w:rsidRPr="00373BB7">
        <w:t xml:space="preserve">rants </w:t>
      </w:r>
      <w:r w:rsidR="00133C11">
        <w:t xml:space="preserve">that are </w:t>
      </w:r>
      <w:r w:rsidRPr="00373BB7">
        <w:t>paid</w:t>
      </w:r>
      <w:r w:rsidR="00355590">
        <w:t xml:space="preserve"> directly into a </w:t>
      </w:r>
      <w:r w:rsidR="00F03E57">
        <w:t>t</w:t>
      </w:r>
      <w:r w:rsidR="00355590">
        <w:t xml:space="preserve">rust </w:t>
      </w:r>
      <w:r w:rsidR="00F03E57">
        <w:t>a</w:t>
      </w:r>
      <w:r w:rsidR="00355590">
        <w:t xml:space="preserve">ccount </w:t>
      </w:r>
      <w:r w:rsidR="00133C11">
        <w:t>are excluded from such arrangements.</w:t>
      </w:r>
    </w:p>
    <w:p w14:paraId="16463224" w14:textId="66A19945" w:rsidR="00373BB7" w:rsidRPr="00373BB7" w:rsidRDefault="00373BB7" w:rsidP="000B672C">
      <w:pPr>
        <w:pStyle w:val="Heading3indent"/>
      </w:pPr>
      <w:r w:rsidRPr="00373BB7">
        <w:t>User charges</w:t>
      </w:r>
      <w:r w:rsidR="00A14828">
        <w:t xml:space="preserve"> (Mandatory </w:t>
      </w:r>
      <w:r w:rsidR="004B378B">
        <w:t>r</w:t>
      </w:r>
      <w:r w:rsidR="00A14828">
        <w:t>equirement 1.1.2)</w:t>
      </w:r>
    </w:p>
    <w:p w14:paraId="1DFE5823" w14:textId="77777777" w:rsidR="00373BB7" w:rsidRPr="007E1D39" w:rsidRDefault="00373BB7" w:rsidP="00B47296">
      <w:pPr>
        <w:pStyle w:val="Heading4indent"/>
      </w:pPr>
      <w:r w:rsidRPr="007E1D39">
        <w:t>Eligibility</w:t>
      </w:r>
    </w:p>
    <w:p w14:paraId="4187EE03" w14:textId="6081CE98" w:rsidR="00A44EEF" w:rsidRDefault="00A44EEF" w:rsidP="00F34F8A">
      <w:pPr>
        <w:pStyle w:val="NormalIndent"/>
      </w:pPr>
      <w:r>
        <w:t xml:space="preserve">A </w:t>
      </w:r>
      <w:r w:rsidR="004B378B">
        <w:t>s</w:t>
      </w:r>
      <w:r>
        <w:t>ection 29 arrangement for user charges may be established to provide departments with access to revenue they generate from the sales of goods and services (outputs).</w:t>
      </w:r>
    </w:p>
    <w:p w14:paraId="16C2C4E1" w14:textId="6EDF97F3" w:rsidR="00373BB7" w:rsidRPr="00F34F8A" w:rsidRDefault="00373BB7" w:rsidP="00F34F8A">
      <w:pPr>
        <w:pStyle w:val="NormalIndent"/>
      </w:pPr>
      <w:r w:rsidRPr="00F34F8A">
        <w:t xml:space="preserve">Section 29 </w:t>
      </w:r>
      <w:r w:rsidR="004B378B">
        <w:t>a</w:t>
      </w:r>
      <w:r w:rsidRPr="00F34F8A">
        <w:t>greements fo</w:t>
      </w:r>
      <w:r w:rsidR="00E664EF">
        <w:t xml:space="preserve">r user charges are not mandatory. Such arrangements are only established by </w:t>
      </w:r>
      <w:r w:rsidR="00A4263C">
        <w:t xml:space="preserve">agreement </w:t>
      </w:r>
      <w:r w:rsidR="00CB0EB2">
        <w:t xml:space="preserve">on an annual basis </w:t>
      </w:r>
      <w:r w:rsidR="00A4263C">
        <w:t xml:space="preserve">between the relevant </w:t>
      </w:r>
      <w:r w:rsidRPr="00F34F8A">
        <w:t xml:space="preserve">Minister and the Treasurer. </w:t>
      </w:r>
    </w:p>
    <w:p w14:paraId="4907B2C5" w14:textId="2A413F0C" w:rsidR="005D7FE9" w:rsidRPr="00373BB7" w:rsidRDefault="005D7FE9" w:rsidP="005D7FE9">
      <w:pPr>
        <w:spacing w:line="252" w:lineRule="auto"/>
        <w:ind w:left="792"/>
        <w:rPr>
          <w:lang w:eastAsia="en-US"/>
        </w:rPr>
      </w:pPr>
      <w:r w:rsidRPr="00373BB7">
        <w:rPr>
          <w:lang w:eastAsia="en-US"/>
        </w:rPr>
        <w:t>User charges need to be carefully distinguished from other forms of revenue such as regulatory fees</w:t>
      </w:r>
      <w:r w:rsidR="00CB0EB2">
        <w:rPr>
          <w:lang w:eastAsia="en-US"/>
        </w:rPr>
        <w:t xml:space="preserve"> (also classified in accounting terms as user charges)</w:t>
      </w:r>
      <w:r w:rsidRPr="00373BB7">
        <w:rPr>
          <w:lang w:eastAsia="en-US"/>
        </w:rPr>
        <w:t>, fines</w:t>
      </w:r>
      <w:r w:rsidR="00CB0EB2">
        <w:rPr>
          <w:lang w:eastAsia="en-US"/>
        </w:rPr>
        <w:t>, dividends, interest</w:t>
      </w:r>
      <w:r w:rsidRPr="00373BB7">
        <w:rPr>
          <w:lang w:eastAsia="en-US"/>
        </w:rPr>
        <w:t xml:space="preserve"> and taxes as these are not eligible for retention. Care needs to be taken in making this distinction</w:t>
      </w:r>
      <w:r w:rsidR="00357379">
        <w:rPr>
          <w:lang w:eastAsia="en-US"/>
        </w:rPr>
        <w:t>,</w:t>
      </w:r>
      <w:r w:rsidRPr="00373BB7">
        <w:rPr>
          <w:lang w:eastAsia="en-US"/>
        </w:rPr>
        <w:t xml:space="preserve"> as in some cases there is a fine line between regulatory fees and </w:t>
      </w:r>
      <w:r w:rsidR="00CB0EB2">
        <w:rPr>
          <w:lang w:eastAsia="en-US"/>
        </w:rPr>
        <w:t xml:space="preserve">other </w:t>
      </w:r>
      <w:r w:rsidRPr="00373BB7">
        <w:rPr>
          <w:lang w:eastAsia="en-US"/>
        </w:rPr>
        <w:t xml:space="preserve">user charges. </w:t>
      </w:r>
    </w:p>
    <w:p w14:paraId="476210E6" w14:textId="477529A7" w:rsidR="00373BB7" w:rsidRPr="00F34F8A" w:rsidRDefault="00373BB7" w:rsidP="00F34F8A">
      <w:pPr>
        <w:pStyle w:val="NormalIndent"/>
      </w:pPr>
      <w:r w:rsidRPr="00F34F8A">
        <w:t>The following criteria should be used in determining whether a revenue item is a</w:t>
      </w:r>
      <w:r w:rsidR="00CB0EB2">
        <w:t xml:space="preserve"> valid</w:t>
      </w:r>
      <w:r w:rsidRPr="00F34F8A">
        <w:t xml:space="preserve"> </w:t>
      </w:r>
      <w:r w:rsidRPr="005D7FE9">
        <w:rPr>
          <w:i/>
        </w:rPr>
        <w:t>user charge</w:t>
      </w:r>
      <w:r w:rsidRPr="00F34F8A">
        <w:t>:</w:t>
      </w:r>
    </w:p>
    <w:p w14:paraId="182F1F86" w14:textId="77777777" w:rsidR="00373BB7" w:rsidRPr="00373BB7" w:rsidRDefault="00373BB7" w:rsidP="00B47296">
      <w:pPr>
        <w:pStyle w:val="Bulletindent"/>
        <w:rPr>
          <w:lang w:eastAsia="en-US"/>
        </w:rPr>
      </w:pPr>
      <w:r w:rsidRPr="00373BB7">
        <w:rPr>
          <w:lang w:eastAsia="en-US"/>
        </w:rPr>
        <w:t>the revenue should stem from payments made voluntarily for g</w:t>
      </w:r>
      <w:r w:rsidR="005D7FE9">
        <w:rPr>
          <w:lang w:eastAsia="en-US"/>
        </w:rPr>
        <w:t>oods and services provided; and</w:t>
      </w:r>
    </w:p>
    <w:p w14:paraId="62D91498" w14:textId="77777777" w:rsidR="00373BB7" w:rsidRPr="00373BB7" w:rsidRDefault="00373BB7" w:rsidP="00B47296">
      <w:pPr>
        <w:pStyle w:val="Bulletindent"/>
        <w:rPr>
          <w:lang w:eastAsia="en-US"/>
        </w:rPr>
      </w:pPr>
      <w:r w:rsidRPr="00373BB7">
        <w:rPr>
          <w:lang w:eastAsia="en-US"/>
        </w:rPr>
        <w:t xml:space="preserve">the payments made and the benefits gained by the user can be clearly linked to the provision of the products and services. </w:t>
      </w:r>
    </w:p>
    <w:p w14:paraId="3CF7FEE9" w14:textId="77777777" w:rsidR="00373BB7" w:rsidRPr="00373BB7" w:rsidRDefault="00373BB7" w:rsidP="00373BB7">
      <w:pPr>
        <w:spacing w:line="252" w:lineRule="auto"/>
        <w:ind w:left="792"/>
        <w:rPr>
          <w:lang w:eastAsia="en-US"/>
        </w:rPr>
      </w:pPr>
      <w:r w:rsidRPr="005D7FE9">
        <w:rPr>
          <w:i/>
          <w:lang w:eastAsia="en-US"/>
        </w:rPr>
        <w:t>Regulatory fees</w:t>
      </w:r>
      <w:r w:rsidRPr="00373BB7">
        <w:rPr>
          <w:lang w:eastAsia="en-US"/>
        </w:rPr>
        <w:t xml:space="preserve"> </w:t>
      </w:r>
      <w:r w:rsidR="005D7FE9">
        <w:rPr>
          <w:lang w:eastAsia="en-US"/>
        </w:rPr>
        <w:t xml:space="preserve">on the other hand </w:t>
      </w:r>
      <w:r w:rsidRPr="00373BB7">
        <w:rPr>
          <w:lang w:eastAsia="en-US"/>
        </w:rPr>
        <w:t>are characterised by one or more of the following:</w:t>
      </w:r>
    </w:p>
    <w:p w14:paraId="10FAF582" w14:textId="12D5335A" w:rsidR="00373BB7" w:rsidRPr="005D7FE9" w:rsidRDefault="00373BB7" w:rsidP="00B47296">
      <w:pPr>
        <w:pStyle w:val="Bulletindent"/>
        <w:rPr>
          <w:lang w:eastAsia="en-US"/>
        </w:rPr>
      </w:pPr>
      <w:r w:rsidRPr="005D7FE9">
        <w:rPr>
          <w:lang w:eastAsia="en-US"/>
        </w:rPr>
        <w:t xml:space="preserve">they are compulsory and serve primarily as an instrument of </w:t>
      </w:r>
      <w:r w:rsidR="004B378B">
        <w:rPr>
          <w:lang w:eastAsia="en-US"/>
        </w:rPr>
        <w:t>g</w:t>
      </w:r>
      <w:r w:rsidRPr="005D7FE9">
        <w:rPr>
          <w:lang w:eastAsia="en-US"/>
        </w:rPr>
        <w:t xml:space="preserve">overnment policy; </w:t>
      </w:r>
    </w:p>
    <w:p w14:paraId="06A92CEF" w14:textId="77777777" w:rsidR="00EA4A83" w:rsidRPr="005D7FE9" w:rsidRDefault="00373BB7" w:rsidP="00B47296">
      <w:pPr>
        <w:pStyle w:val="Bulletindent"/>
        <w:rPr>
          <w:lang w:eastAsia="en-US"/>
        </w:rPr>
      </w:pPr>
      <w:r w:rsidRPr="005D7FE9">
        <w:rPr>
          <w:lang w:eastAsia="en-US"/>
        </w:rPr>
        <w:t>they generally reflect the granting of a privilege or right to undertake a regulated activity.</w:t>
      </w:r>
    </w:p>
    <w:p w14:paraId="408769D1" w14:textId="77777777" w:rsidR="00857677" w:rsidRDefault="00857677">
      <w:pPr>
        <w:spacing w:before="0" w:after="200"/>
        <w:rPr>
          <w:rFonts w:asciiTheme="majorHAnsi" w:eastAsiaTheme="majorEastAsia" w:hAnsiTheme="majorHAnsi" w:cstheme="majorBidi"/>
          <w:b/>
          <w:bCs/>
          <w:iCs/>
          <w:color w:val="53565A"/>
          <w:sz w:val="21"/>
        </w:rPr>
      </w:pPr>
      <w:r>
        <w:br w:type="page"/>
      </w:r>
    </w:p>
    <w:p w14:paraId="232D82D9" w14:textId="2C0114CB" w:rsidR="00373BB7" w:rsidRPr="00373BB7" w:rsidRDefault="00373BB7" w:rsidP="00B47296">
      <w:pPr>
        <w:pStyle w:val="Heading4indent"/>
      </w:pPr>
      <w:r w:rsidRPr="00373BB7">
        <w:lastRenderedPageBreak/>
        <w:t>Application</w:t>
      </w:r>
    </w:p>
    <w:p w14:paraId="24019740" w14:textId="12CBAFC8" w:rsidR="00373BB7" w:rsidRPr="00373BB7" w:rsidRDefault="00373BB7" w:rsidP="00373BB7">
      <w:pPr>
        <w:spacing w:line="252" w:lineRule="auto"/>
        <w:ind w:left="792"/>
        <w:rPr>
          <w:lang w:eastAsia="en-US"/>
        </w:rPr>
      </w:pPr>
      <w:r w:rsidRPr="00373BB7">
        <w:rPr>
          <w:lang w:eastAsia="en-US"/>
        </w:rPr>
        <w:t xml:space="preserve">Section 29 </w:t>
      </w:r>
      <w:r w:rsidR="004B378B">
        <w:rPr>
          <w:lang w:eastAsia="en-US"/>
        </w:rPr>
        <w:t>a</w:t>
      </w:r>
      <w:r w:rsidRPr="00373BB7">
        <w:rPr>
          <w:lang w:eastAsia="en-US"/>
        </w:rPr>
        <w:t>greements are based on the principle of applying current prices.</w:t>
      </w:r>
    </w:p>
    <w:p w14:paraId="6C14329C" w14:textId="77777777" w:rsidR="00373BB7" w:rsidRDefault="00690E1E" w:rsidP="00373BB7">
      <w:pPr>
        <w:spacing w:line="252" w:lineRule="auto"/>
        <w:ind w:left="792"/>
        <w:rPr>
          <w:lang w:eastAsia="en-US"/>
        </w:rPr>
      </w:pPr>
      <w:r>
        <w:rPr>
          <w:lang w:eastAsia="en-US"/>
        </w:rPr>
        <w:t xml:space="preserve">The </w:t>
      </w:r>
      <w:r w:rsidR="00373BB7" w:rsidRPr="00373BB7">
        <w:rPr>
          <w:lang w:eastAsia="en-US"/>
        </w:rPr>
        <w:t>‘Current price’</w:t>
      </w:r>
      <w:r>
        <w:rPr>
          <w:lang w:eastAsia="en-US"/>
        </w:rPr>
        <w:t xml:space="preserve"> of the base amount</w:t>
      </w:r>
      <w:r w:rsidR="00373BB7" w:rsidRPr="00373BB7">
        <w:rPr>
          <w:lang w:eastAsia="en-US"/>
        </w:rPr>
        <w:t xml:space="preserve"> does not automatically mean existing prices are indexed by the forecast Consumer Price Index (CPI). </w:t>
      </w:r>
      <w:r w:rsidR="003D7E19">
        <w:rPr>
          <w:lang w:eastAsia="en-US"/>
        </w:rPr>
        <w:t xml:space="preserve">Depending on the nature of the service, this may need to be determined on </w:t>
      </w:r>
      <w:r w:rsidR="005D7FE9">
        <w:rPr>
          <w:lang w:eastAsia="en-US"/>
        </w:rPr>
        <w:t>a case-</w:t>
      </w:r>
      <w:r w:rsidR="00373BB7" w:rsidRPr="00373BB7">
        <w:rPr>
          <w:lang w:eastAsia="en-US"/>
        </w:rPr>
        <w:t>by</w:t>
      </w:r>
      <w:r w:rsidR="005D7FE9">
        <w:rPr>
          <w:lang w:eastAsia="en-US"/>
        </w:rPr>
        <w:t>-</w:t>
      </w:r>
      <w:r w:rsidR="00373BB7" w:rsidRPr="00373BB7">
        <w:rPr>
          <w:lang w:eastAsia="en-US"/>
        </w:rPr>
        <w:t>case basis.</w:t>
      </w:r>
    </w:p>
    <w:p w14:paraId="5DE68BFF" w14:textId="77777777" w:rsidR="007E3462" w:rsidRDefault="007E3462" w:rsidP="00373BB7">
      <w:pPr>
        <w:spacing w:line="252" w:lineRule="auto"/>
        <w:ind w:left="792"/>
        <w:rPr>
          <w:lang w:eastAsia="en-US"/>
        </w:rPr>
      </w:pPr>
      <w:r>
        <w:rPr>
          <w:lang w:eastAsia="en-US"/>
        </w:rPr>
        <w:t xml:space="preserve">Departments should also refer to DTF’s </w:t>
      </w:r>
      <w:r w:rsidRPr="007E3462">
        <w:rPr>
          <w:i/>
          <w:lang w:eastAsia="en-US"/>
        </w:rPr>
        <w:t>Cost Recovery Guidelines</w:t>
      </w:r>
      <w:r>
        <w:rPr>
          <w:lang w:eastAsia="en-US"/>
        </w:rPr>
        <w:t xml:space="preserve"> for more information.</w:t>
      </w:r>
    </w:p>
    <w:p w14:paraId="7095A341" w14:textId="77777777" w:rsidR="00D92376" w:rsidRPr="00373BB7" w:rsidRDefault="00D92376" w:rsidP="00B47296">
      <w:pPr>
        <w:pStyle w:val="Heading4indent"/>
      </w:pPr>
      <w:r w:rsidRPr="00373BB7">
        <w:t xml:space="preserve">Goods and Services Tax </w:t>
      </w:r>
    </w:p>
    <w:p w14:paraId="37A4EADA" w14:textId="03873E07" w:rsidR="00D92376" w:rsidRPr="00373BB7" w:rsidRDefault="00D92376" w:rsidP="00D92376">
      <w:pPr>
        <w:spacing w:line="252" w:lineRule="auto"/>
        <w:ind w:left="792"/>
      </w:pPr>
      <w:r w:rsidRPr="00373BB7">
        <w:t xml:space="preserve">Under the provisions of the </w:t>
      </w:r>
      <w:r w:rsidRPr="00373BB7">
        <w:rPr>
          <w:i/>
        </w:rPr>
        <w:t>Commonwealth A New Tax System (Goods and Services Tax) Act 1999</w:t>
      </w:r>
      <w:r w:rsidRPr="00373BB7">
        <w:t xml:space="preserve">, fees and charges paid to a </w:t>
      </w:r>
      <w:r w:rsidR="004B378B">
        <w:t>g</w:t>
      </w:r>
      <w:r w:rsidRPr="00373BB7">
        <w:t xml:space="preserve">overnment </w:t>
      </w:r>
      <w:r w:rsidR="004B378B">
        <w:t>d</w:t>
      </w:r>
      <w:r w:rsidRPr="00373BB7">
        <w:t xml:space="preserve">epartment are deemed to be subject to the Goods and Services Tax (GST). </w:t>
      </w:r>
    </w:p>
    <w:p w14:paraId="4CD278F3" w14:textId="77777777" w:rsidR="00D92376" w:rsidRPr="00373BB7" w:rsidRDefault="00B67B95" w:rsidP="00D92376">
      <w:pPr>
        <w:pStyle w:val="NormalIndent"/>
      </w:pPr>
      <w:r>
        <w:t xml:space="preserve">Departments should refer </w:t>
      </w:r>
      <w:r w:rsidR="001B7EBC">
        <w:t xml:space="preserve">to </w:t>
      </w:r>
      <w:r>
        <w:t>Division 81 to identify any Victorian Government fees and charges that are excluded from GST</w:t>
      </w:r>
      <w:r w:rsidR="00E06E95">
        <w:t>.</w:t>
      </w:r>
    </w:p>
    <w:p w14:paraId="4176CE41" w14:textId="56CA5EC9" w:rsidR="00233150" w:rsidRDefault="00D92376" w:rsidP="00D92376">
      <w:pPr>
        <w:pStyle w:val="NormalIndent"/>
        <w:rPr>
          <w:lang w:eastAsia="en-US"/>
        </w:rPr>
      </w:pPr>
      <w:r w:rsidRPr="00373BB7">
        <w:rPr>
          <w:lang w:eastAsia="en-US"/>
        </w:rPr>
        <w:t xml:space="preserve">Given that Victorian </w:t>
      </w:r>
      <w:r w:rsidR="004B378B">
        <w:rPr>
          <w:lang w:eastAsia="en-US"/>
        </w:rPr>
        <w:t>p</w:t>
      </w:r>
      <w:r w:rsidRPr="00373BB7">
        <w:rPr>
          <w:lang w:eastAsia="en-US"/>
        </w:rPr>
        <w:t xml:space="preserve">ublic </w:t>
      </w:r>
      <w:r w:rsidR="004B378B">
        <w:rPr>
          <w:lang w:eastAsia="en-US"/>
        </w:rPr>
        <w:t>s</w:t>
      </w:r>
      <w:r w:rsidRPr="00373BB7">
        <w:rPr>
          <w:lang w:eastAsia="en-US"/>
        </w:rPr>
        <w:t xml:space="preserve">ector Departments and agencies are registered separately for GST purposes, </w:t>
      </w:r>
      <w:r w:rsidR="00E06E95">
        <w:rPr>
          <w:lang w:eastAsia="en-US"/>
        </w:rPr>
        <w:t xml:space="preserve">they should regularly review the fees and charges, as </w:t>
      </w:r>
      <w:r w:rsidRPr="00373BB7">
        <w:rPr>
          <w:lang w:eastAsia="en-US"/>
        </w:rPr>
        <w:t>they will individually be responsible for the management and remittance of GST to the Australian Tax Office</w:t>
      </w:r>
      <w:r w:rsidR="003D7E19">
        <w:rPr>
          <w:lang w:eastAsia="en-US"/>
        </w:rPr>
        <w:t>.</w:t>
      </w:r>
    </w:p>
    <w:p w14:paraId="05D37480" w14:textId="2FA0E47C" w:rsidR="00233150" w:rsidRPr="00BE5770" w:rsidRDefault="00233150" w:rsidP="00BE5770">
      <w:pPr>
        <w:pStyle w:val="Bulletindent"/>
        <w:numPr>
          <w:ilvl w:val="0"/>
          <w:numId w:val="0"/>
        </w:numPr>
        <w:ind w:left="792"/>
        <w:rPr>
          <w:rFonts w:eastAsiaTheme="minorEastAsia" w:cstheme="minorBidi"/>
          <w:lang w:eastAsia="en-US"/>
        </w:rPr>
      </w:pPr>
      <w:r w:rsidRPr="00BE5770">
        <w:rPr>
          <w:rFonts w:eastAsiaTheme="minorEastAsia" w:cstheme="minorBidi"/>
          <w:lang w:eastAsia="en-US"/>
        </w:rPr>
        <w:t>Note that</w:t>
      </w:r>
      <w:r w:rsidR="00BE5770" w:rsidRPr="00BE5770">
        <w:rPr>
          <w:rFonts w:eastAsiaTheme="minorEastAsia" w:cstheme="minorBidi"/>
          <w:lang w:eastAsia="en-US"/>
        </w:rPr>
        <w:t xml:space="preserve"> </w:t>
      </w:r>
      <w:r w:rsidR="00D92376" w:rsidRPr="00BE5770">
        <w:rPr>
          <w:rFonts w:eastAsiaTheme="minorEastAsia" w:cstheme="minorBidi"/>
          <w:lang w:eastAsia="en-US"/>
        </w:rPr>
        <w:t>when preparing a</w:t>
      </w:r>
      <w:r w:rsidRPr="00BE5770">
        <w:rPr>
          <w:rFonts w:eastAsiaTheme="minorEastAsia" w:cstheme="minorBidi"/>
          <w:lang w:eastAsia="en-US"/>
        </w:rPr>
        <w:t xml:space="preserve"> </w:t>
      </w:r>
      <w:r w:rsidR="004B378B">
        <w:rPr>
          <w:rFonts w:eastAsiaTheme="minorEastAsia" w:cstheme="minorBidi"/>
          <w:lang w:eastAsia="en-US"/>
        </w:rPr>
        <w:t>s</w:t>
      </w:r>
      <w:r w:rsidRPr="00BE5770">
        <w:rPr>
          <w:rFonts w:eastAsiaTheme="minorEastAsia" w:cstheme="minorBidi"/>
          <w:lang w:eastAsia="en-US"/>
        </w:rPr>
        <w:t xml:space="preserve">ection 29 </w:t>
      </w:r>
      <w:r w:rsidR="004B378B">
        <w:rPr>
          <w:rFonts w:eastAsiaTheme="minorEastAsia" w:cstheme="minorBidi"/>
          <w:lang w:eastAsia="en-US"/>
        </w:rPr>
        <w:t>a</w:t>
      </w:r>
      <w:r w:rsidR="00D92376" w:rsidRPr="00BE5770">
        <w:rPr>
          <w:rFonts w:eastAsiaTheme="minorEastAsia" w:cstheme="minorBidi"/>
          <w:lang w:eastAsia="en-US"/>
        </w:rPr>
        <w:t>greement</w:t>
      </w:r>
      <w:r w:rsidRPr="00BE5770">
        <w:rPr>
          <w:rFonts w:eastAsiaTheme="minorEastAsia" w:cstheme="minorBidi"/>
          <w:lang w:eastAsia="en-US"/>
        </w:rPr>
        <w:t xml:space="preserve">, the revenue items that </w:t>
      </w:r>
      <w:r w:rsidR="005A78DF">
        <w:rPr>
          <w:rFonts w:eastAsiaTheme="minorEastAsia" w:cstheme="minorBidi"/>
          <w:lang w:eastAsia="en-US"/>
        </w:rPr>
        <w:t>comprise</w:t>
      </w:r>
      <w:r w:rsidRPr="00BE5770">
        <w:rPr>
          <w:rFonts w:eastAsiaTheme="minorEastAsia" w:cstheme="minorBidi"/>
          <w:lang w:eastAsia="en-US"/>
        </w:rPr>
        <w:t xml:space="preserve"> the agreement will be </w:t>
      </w:r>
      <w:r w:rsidRPr="00FE59AD">
        <w:rPr>
          <w:rFonts w:eastAsiaTheme="minorEastAsia" w:cstheme="minorBidi"/>
          <w:b/>
          <w:lang w:eastAsia="en-US"/>
        </w:rPr>
        <w:t>exclusive</w:t>
      </w:r>
      <w:r w:rsidRPr="00BE5770">
        <w:rPr>
          <w:rFonts w:eastAsiaTheme="minorEastAsia" w:cstheme="minorBidi"/>
          <w:lang w:eastAsia="en-US"/>
        </w:rPr>
        <w:t xml:space="preserve"> of GST.</w:t>
      </w:r>
      <w:r w:rsidR="00D92376" w:rsidRPr="00BE5770">
        <w:rPr>
          <w:rFonts w:eastAsiaTheme="minorEastAsia" w:cstheme="minorBidi"/>
          <w:lang w:eastAsia="en-US"/>
        </w:rPr>
        <w:t xml:space="preserve"> </w:t>
      </w:r>
    </w:p>
    <w:p w14:paraId="1C2900A9" w14:textId="4A6A3446" w:rsidR="00373BB7" w:rsidRPr="00373BB7" w:rsidRDefault="007E3462" w:rsidP="000B672C">
      <w:pPr>
        <w:pStyle w:val="Heading3indent"/>
      </w:pPr>
      <w:r>
        <w:t>Receipts from a</w:t>
      </w:r>
      <w:r w:rsidR="00373BB7" w:rsidRPr="00373BB7">
        <w:t>sset sales</w:t>
      </w:r>
      <w:r w:rsidR="00A25050">
        <w:t xml:space="preserve"> (Mandatory </w:t>
      </w:r>
      <w:r w:rsidR="004B378B">
        <w:t>r</w:t>
      </w:r>
      <w:r w:rsidR="00A25050">
        <w:t>equirement 1.1.3)</w:t>
      </w:r>
    </w:p>
    <w:p w14:paraId="6C0B02AC" w14:textId="77777777" w:rsidR="00373BB7" w:rsidRPr="00373BB7" w:rsidRDefault="00373BB7" w:rsidP="00B47296">
      <w:pPr>
        <w:pStyle w:val="Heading4indent"/>
        <w:rPr>
          <w:lang w:eastAsia="en-US"/>
        </w:rPr>
      </w:pPr>
      <w:r w:rsidRPr="00373BB7">
        <w:rPr>
          <w:lang w:eastAsia="en-US"/>
        </w:rPr>
        <w:t>Eligibility</w:t>
      </w:r>
    </w:p>
    <w:p w14:paraId="7D7271EC" w14:textId="0D5EFF6E" w:rsidR="00373BB7" w:rsidRPr="00373BB7" w:rsidRDefault="00373BB7" w:rsidP="00B47296">
      <w:pPr>
        <w:pStyle w:val="NormalIndent"/>
      </w:pPr>
      <w:r w:rsidRPr="00373BB7">
        <w:t xml:space="preserve">The </w:t>
      </w:r>
      <w:r w:rsidR="001E54AE">
        <w:t xml:space="preserve">cash </w:t>
      </w:r>
      <w:r w:rsidR="00A25050">
        <w:t>proceeds from</w:t>
      </w:r>
      <w:r w:rsidRPr="00373BB7">
        <w:t xml:space="preserve"> the sale of </w:t>
      </w:r>
      <w:r w:rsidR="001E54AE">
        <w:t xml:space="preserve">Departmental </w:t>
      </w:r>
      <w:r w:rsidRPr="00373BB7">
        <w:t xml:space="preserve">controlled </w:t>
      </w:r>
      <w:r w:rsidR="001E54AE">
        <w:t xml:space="preserve">(not administered) </w:t>
      </w:r>
      <w:r w:rsidRPr="00373BB7">
        <w:t xml:space="preserve">physical assets </w:t>
      </w:r>
      <w:r w:rsidR="001E54AE">
        <w:t xml:space="preserve">may be accessed through a </w:t>
      </w:r>
      <w:r w:rsidR="004B378B">
        <w:t>s</w:t>
      </w:r>
      <w:r w:rsidRPr="00373BB7">
        <w:t xml:space="preserve">ection 29 </w:t>
      </w:r>
      <w:r w:rsidR="004B378B">
        <w:t>a</w:t>
      </w:r>
      <w:r w:rsidRPr="00373BB7">
        <w:t>greement.</w:t>
      </w:r>
    </w:p>
    <w:p w14:paraId="2A896B3D" w14:textId="77777777" w:rsidR="00E549DC" w:rsidRDefault="00373BB7" w:rsidP="00373BB7">
      <w:pPr>
        <w:spacing w:line="252" w:lineRule="auto"/>
        <w:ind w:left="792"/>
      </w:pPr>
      <w:r w:rsidRPr="00373BB7">
        <w:t>The Treasurer must agree to</w:t>
      </w:r>
      <w:r w:rsidR="00E549DC">
        <w:t>:</w:t>
      </w:r>
    </w:p>
    <w:p w14:paraId="74E3CA6A" w14:textId="77777777" w:rsidR="00E549DC" w:rsidRDefault="00373BB7" w:rsidP="00B47296">
      <w:pPr>
        <w:pStyle w:val="Bulletindent"/>
      </w:pPr>
      <w:r w:rsidRPr="00373BB7">
        <w:t>the proposed sale of the particular asset or class of assets</w:t>
      </w:r>
      <w:r w:rsidR="00E549DC">
        <w:t>;</w:t>
      </w:r>
      <w:r w:rsidRPr="00373BB7">
        <w:t xml:space="preserve"> and</w:t>
      </w:r>
    </w:p>
    <w:p w14:paraId="61D93ABE" w14:textId="74CBD936" w:rsidR="00373BB7" w:rsidRPr="00373BB7" w:rsidRDefault="001B7EBC" w:rsidP="00B47296">
      <w:pPr>
        <w:pStyle w:val="Bulletindent"/>
      </w:pPr>
      <w:r>
        <w:t xml:space="preserve">the amount derived from the sale to be annotated to the Department’s </w:t>
      </w:r>
      <w:r w:rsidR="00CB0EB2">
        <w:t xml:space="preserve">ATNAB </w:t>
      </w:r>
      <w:r>
        <w:t xml:space="preserve">appropriation </w:t>
      </w:r>
      <w:r w:rsidR="00373BB7" w:rsidRPr="00373BB7">
        <w:t>if only a portion of the proceeds are to be annotated</w:t>
      </w:r>
      <w:r>
        <w:t>.</w:t>
      </w:r>
    </w:p>
    <w:p w14:paraId="65AF7D23" w14:textId="2B5A3212" w:rsidR="00373BB7" w:rsidRPr="00373BB7" w:rsidRDefault="00373BB7" w:rsidP="00373BB7">
      <w:pPr>
        <w:spacing w:line="252" w:lineRule="auto"/>
        <w:ind w:left="792"/>
      </w:pPr>
      <w:r w:rsidRPr="00373BB7">
        <w:t xml:space="preserve">A Department wishing to </w:t>
      </w:r>
      <w:r w:rsidR="004A73DF">
        <w:t xml:space="preserve">use a </w:t>
      </w:r>
      <w:r w:rsidR="002345F2">
        <w:t>s</w:t>
      </w:r>
      <w:r w:rsidR="004A73DF">
        <w:t xml:space="preserve">ection 29 </w:t>
      </w:r>
      <w:r w:rsidR="002345F2">
        <w:t>a</w:t>
      </w:r>
      <w:r w:rsidR="004A73DF">
        <w:t xml:space="preserve">greement for asset sales, should include any proposal to dispose of assets or class of assets </w:t>
      </w:r>
      <w:r w:rsidRPr="00373BB7">
        <w:t>in their Budget funding business cases for new asset investment</w:t>
      </w:r>
      <w:r w:rsidR="004A73DF">
        <w:t>.</w:t>
      </w:r>
      <w:r w:rsidRPr="00373BB7">
        <w:t xml:space="preserve"> </w:t>
      </w:r>
    </w:p>
    <w:p w14:paraId="18609A0F" w14:textId="77777777" w:rsidR="00233150" w:rsidRDefault="00373BB7" w:rsidP="00373BB7">
      <w:pPr>
        <w:spacing w:line="252" w:lineRule="auto"/>
        <w:ind w:left="792"/>
      </w:pPr>
      <w:r w:rsidRPr="00373BB7">
        <w:t xml:space="preserve">Departments are encouraged to think broadly about possible opportunities for asset disposal as part of </w:t>
      </w:r>
      <w:r w:rsidR="004A73DF">
        <w:t xml:space="preserve">any </w:t>
      </w:r>
      <w:r w:rsidRPr="00373BB7">
        <w:t xml:space="preserve">asset initiative development. </w:t>
      </w:r>
    </w:p>
    <w:p w14:paraId="4D02EBF8" w14:textId="77777777" w:rsidR="00373BB7" w:rsidRPr="00373BB7" w:rsidRDefault="00373BB7" w:rsidP="00373BB7">
      <w:pPr>
        <w:spacing w:line="252" w:lineRule="auto"/>
        <w:ind w:left="792"/>
      </w:pPr>
      <w:r w:rsidRPr="00373BB7">
        <w:t xml:space="preserve">Departments should also refer to the </w:t>
      </w:r>
      <w:r w:rsidRPr="00373BB7">
        <w:rPr>
          <w:i/>
        </w:rPr>
        <w:t>Victorian Government Land Sales Financial Framework</w:t>
      </w:r>
      <w:r w:rsidRPr="00373BB7">
        <w:t xml:space="preserve"> when considering land sales opportunities.</w:t>
      </w:r>
    </w:p>
    <w:p w14:paraId="04235D9E" w14:textId="77777777" w:rsidR="00373BB7" w:rsidRPr="00373BB7" w:rsidRDefault="00373BB7" w:rsidP="00B47296">
      <w:pPr>
        <w:pStyle w:val="Heading4indent"/>
        <w:rPr>
          <w:lang w:eastAsia="en-US"/>
        </w:rPr>
      </w:pPr>
      <w:r w:rsidRPr="00373BB7">
        <w:rPr>
          <w:lang w:eastAsia="en-US"/>
        </w:rPr>
        <w:t>Application</w:t>
      </w:r>
    </w:p>
    <w:p w14:paraId="5BCB25AD" w14:textId="77777777" w:rsidR="00373BB7" w:rsidRPr="00373BB7" w:rsidRDefault="00373BB7" w:rsidP="00373BB7">
      <w:pPr>
        <w:spacing w:line="252" w:lineRule="auto"/>
        <w:ind w:left="792"/>
      </w:pPr>
      <w:r w:rsidRPr="00373BB7">
        <w:t xml:space="preserve">Timing issues associated with accessing the proceeds of sale will be unique to each situation. Where the proceeds of sales are to be applied to asset replacement there may be a need to arrange an advance of funds to cover the period </w:t>
      </w:r>
      <w:r w:rsidR="001B7EBC">
        <w:t xml:space="preserve">before sale proceeds become </w:t>
      </w:r>
      <w:r w:rsidRPr="00373BB7">
        <w:t>available.</w:t>
      </w:r>
    </w:p>
    <w:p w14:paraId="2D52DC86" w14:textId="77777777" w:rsidR="00B47296" w:rsidRDefault="00B47296">
      <w:pPr>
        <w:spacing w:before="0" w:after="200"/>
      </w:pPr>
      <w:r>
        <w:br w:type="page"/>
      </w:r>
    </w:p>
    <w:p w14:paraId="1B714F4B" w14:textId="4F41E09E" w:rsidR="00373BB7" w:rsidRPr="00373BB7" w:rsidRDefault="00373BB7" w:rsidP="00373BB7">
      <w:pPr>
        <w:spacing w:line="252" w:lineRule="auto"/>
        <w:ind w:left="792"/>
      </w:pPr>
      <w:r w:rsidRPr="00373BB7">
        <w:lastRenderedPageBreak/>
        <w:t xml:space="preserve">Other issues </w:t>
      </w:r>
      <w:r w:rsidR="004A73DF">
        <w:t xml:space="preserve">may </w:t>
      </w:r>
      <w:r w:rsidRPr="00373BB7">
        <w:t>include:</w:t>
      </w:r>
    </w:p>
    <w:p w14:paraId="64FBA3DF" w14:textId="77777777" w:rsidR="00373BB7" w:rsidRPr="00373BB7" w:rsidRDefault="00373BB7" w:rsidP="00591A0D">
      <w:pPr>
        <w:pStyle w:val="Bulletindent"/>
      </w:pPr>
      <w:r w:rsidRPr="00373BB7">
        <w:t>the change of accounting treatme</w:t>
      </w:r>
      <w:r w:rsidR="00D92376">
        <w:t xml:space="preserve">nt </w:t>
      </w:r>
      <w:r w:rsidR="001B7EBC">
        <w:t>regarding</w:t>
      </w:r>
      <w:r w:rsidR="00D92376">
        <w:t xml:space="preserve"> the asset (e.g</w:t>
      </w:r>
      <w:r w:rsidRPr="00373BB7">
        <w:t xml:space="preserve">. a non-current physical asset may have a different value when converted to asset held for resale); </w:t>
      </w:r>
    </w:p>
    <w:p w14:paraId="24CA819F" w14:textId="77777777" w:rsidR="00373BB7" w:rsidRPr="00373BB7" w:rsidRDefault="00373BB7" w:rsidP="00591A0D">
      <w:pPr>
        <w:pStyle w:val="Bulletindent"/>
      </w:pPr>
      <w:r w:rsidRPr="00373BB7">
        <w:t>the estimate of anticipated proceeds;</w:t>
      </w:r>
    </w:p>
    <w:p w14:paraId="07DB81EA" w14:textId="77777777" w:rsidR="00373BB7" w:rsidRPr="00373BB7" w:rsidRDefault="00373BB7" w:rsidP="00591A0D">
      <w:pPr>
        <w:pStyle w:val="Bulletindent"/>
      </w:pPr>
      <w:r w:rsidRPr="00373BB7">
        <w:t xml:space="preserve">the </w:t>
      </w:r>
      <w:r w:rsidR="00233150">
        <w:t>impact</w:t>
      </w:r>
      <w:r w:rsidR="00233150" w:rsidRPr="00373BB7">
        <w:t xml:space="preserve"> </w:t>
      </w:r>
      <w:r w:rsidRPr="00373BB7">
        <w:t xml:space="preserve">of actual proceeds being different to the estimate; </w:t>
      </w:r>
    </w:p>
    <w:p w14:paraId="0B13969F" w14:textId="77777777" w:rsidR="00373BB7" w:rsidRPr="00373BB7" w:rsidRDefault="00373BB7" w:rsidP="00591A0D">
      <w:pPr>
        <w:pStyle w:val="Bulletindent"/>
      </w:pPr>
      <w:r w:rsidRPr="00373BB7">
        <w:t xml:space="preserve">responsibility for the costs associated with the disposal; and </w:t>
      </w:r>
    </w:p>
    <w:p w14:paraId="0986167A" w14:textId="77777777" w:rsidR="00373BB7" w:rsidRPr="00373BB7" w:rsidRDefault="00373BB7" w:rsidP="00591A0D">
      <w:pPr>
        <w:pStyle w:val="Bulletindent"/>
      </w:pPr>
      <w:r w:rsidRPr="00373BB7">
        <w:t xml:space="preserve">interest by other agencies in acquiring the asset in question. </w:t>
      </w:r>
    </w:p>
    <w:p w14:paraId="7818E915" w14:textId="77777777" w:rsidR="00373BB7" w:rsidRPr="00373BB7" w:rsidRDefault="00373BB7" w:rsidP="00373BB7">
      <w:pPr>
        <w:spacing w:line="252" w:lineRule="auto"/>
        <w:ind w:left="792"/>
      </w:pPr>
      <w:r w:rsidRPr="00373BB7">
        <w:t xml:space="preserve">Discussions will be held with each Department on the configuration of balance sheets in the context of budget formulation. At this time, the options for asset disposal and the opportunity for the retention of proceeds will be discussed and tested. </w:t>
      </w:r>
    </w:p>
    <w:p w14:paraId="6EB2D59E" w14:textId="77777777" w:rsidR="00373BB7" w:rsidRPr="00373BB7" w:rsidRDefault="00373BB7" w:rsidP="00373BB7">
      <w:pPr>
        <w:spacing w:line="252" w:lineRule="auto"/>
        <w:ind w:left="792"/>
      </w:pPr>
      <w:r w:rsidRPr="00373BB7">
        <w:t xml:space="preserve">Departments should also refer to the </w:t>
      </w:r>
      <w:r w:rsidRPr="007701BE">
        <w:rPr>
          <w:i/>
        </w:rPr>
        <w:t>Victorian Government Land Sales Financial Framework</w:t>
      </w:r>
      <w:r w:rsidRPr="00373BB7">
        <w:t xml:space="preserve"> for specific policies </w:t>
      </w:r>
      <w:r w:rsidR="001B7EBC">
        <w:t xml:space="preserve">regarding </w:t>
      </w:r>
      <w:r w:rsidRPr="00373BB7">
        <w:t>the retent</w:t>
      </w:r>
      <w:r w:rsidR="001C29AE">
        <w:t>ion of receipts from land sales.</w:t>
      </w:r>
    </w:p>
    <w:p w14:paraId="457E7F50" w14:textId="3E3F9E67" w:rsidR="00816278" w:rsidRDefault="00816278" w:rsidP="00696C7D">
      <w:pPr>
        <w:pStyle w:val="Heading2numbered"/>
      </w:pPr>
      <w:bookmarkStart w:id="39" w:name="_Toc476658089"/>
      <w:bookmarkStart w:id="40" w:name="_Toc445459719"/>
      <w:bookmarkEnd w:id="18"/>
      <w:r>
        <w:lastRenderedPageBreak/>
        <w:t xml:space="preserve">The Trust Fund and </w:t>
      </w:r>
      <w:r w:rsidR="000B30EE">
        <w:t>t</w:t>
      </w:r>
      <w:r>
        <w:t>rust accounts</w:t>
      </w:r>
      <w:bookmarkEnd w:id="39"/>
    </w:p>
    <w:tbl>
      <w:tblPr>
        <w:tblStyle w:val="Mandatory"/>
        <w:tblW w:w="7483" w:type="dxa"/>
        <w:tblLook w:val="0620" w:firstRow="1" w:lastRow="0" w:firstColumn="0" w:lastColumn="0" w:noHBand="1" w:noVBand="1"/>
      </w:tblPr>
      <w:tblGrid>
        <w:gridCol w:w="7483"/>
      </w:tblGrid>
      <w:tr w:rsidR="00AE2404" w:rsidRPr="00FD2F4C" w14:paraId="5B0EF24B" w14:textId="77777777" w:rsidTr="002C1862">
        <w:trPr>
          <w:cnfStyle w:val="100000000000" w:firstRow="1" w:lastRow="0" w:firstColumn="0" w:lastColumn="0" w:oddVBand="0" w:evenVBand="0" w:oddHBand="0" w:evenHBand="0" w:firstRowFirstColumn="0" w:firstRowLastColumn="0" w:lastRowFirstColumn="0" w:lastRowLastColumn="0"/>
          <w:cantSplit/>
        </w:trPr>
        <w:tc>
          <w:tcPr>
            <w:tcW w:w="7483" w:type="dxa"/>
          </w:tcPr>
          <w:p w14:paraId="591378D2" w14:textId="74B9FB6C" w:rsidR="00AE2404" w:rsidRPr="00FD2F4C" w:rsidRDefault="00AE2404" w:rsidP="002C1862">
            <w:pPr>
              <w:pStyle w:val="Tableheader"/>
            </w:pPr>
            <w:r>
              <w:t>Mandatory requirements</w:t>
            </w:r>
            <w:r>
              <w:br/>
            </w:r>
            <w:r w:rsidR="000B30EE">
              <w:t xml:space="preserve">THE TRUST FUND AND </w:t>
            </w:r>
            <w:r>
              <w:t>TRUST ACCOUNTS</w:t>
            </w:r>
          </w:p>
        </w:tc>
      </w:tr>
      <w:tr w:rsidR="00AE2404" w:rsidRPr="008D7E41" w14:paraId="33B507AB" w14:textId="77777777" w:rsidTr="002C1862">
        <w:tc>
          <w:tcPr>
            <w:tcW w:w="7483" w:type="dxa"/>
          </w:tcPr>
          <w:p w14:paraId="67721790" w14:textId="5EDAFF05" w:rsidR="00AE2404" w:rsidRPr="00DA7648" w:rsidRDefault="00AE2404" w:rsidP="00DA412B">
            <w:pPr>
              <w:pStyle w:val="Heading3numbered"/>
              <w:numPr>
                <w:ilvl w:val="4"/>
                <w:numId w:val="50"/>
              </w:numPr>
            </w:pPr>
            <w:bookmarkStart w:id="41" w:name="_Toc476658090"/>
            <w:r w:rsidRPr="00DA7648">
              <w:t xml:space="preserve">Creation of a </w:t>
            </w:r>
            <w:r w:rsidR="000B30EE">
              <w:t>t</w:t>
            </w:r>
            <w:r w:rsidRPr="00DA7648">
              <w:t xml:space="preserve">rust </w:t>
            </w:r>
            <w:r w:rsidR="000B30EE">
              <w:t>a</w:t>
            </w:r>
            <w:r w:rsidRPr="00DA7648">
              <w:t>ccount</w:t>
            </w:r>
            <w:bookmarkEnd w:id="41"/>
          </w:p>
          <w:p w14:paraId="1EFED3DE" w14:textId="77777777" w:rsidR="00AE2404" w:rsidRDefault="00AE2404" w:rsidP="00DA412B">
            <w:pPr>
              <w:pStyle w:val="Listnumindent"/>
              <w:numPr>
                <w:ilvl w:val="6"/>
                <w:numId w:val="32"/>
              </w:numPr>
            </w:pPr>
            <w:r>
              <w:t>If a trust is being created as a result of legislation, a Department must inform DTF about its impending creation and advise DTF once it is established to process the requirements to administer and report on the trust.</w:t>
            </w:r>
          </w:p>
          <w:p w14:paraId="3112BC59" w14:textId="1276529D" w:rsidR="00AE2404" w:rsidRDefault="00AE2404" w:rsidP="00DA412B">
            <w:pPr>
              <w:pStyle w:val="Listnumindent"/>
              <w:numPr>
                <w:ilvl w:val="6"/>
                <w:numId w:val="32"/>
              </w:numPr>
            </w:pPr>
            <w:r>
              <w:t xml:space="preserve">If a trust is </w:t>
            </w:r>
            <w:r w:rsidR="00931301">
              <w:t>proposed to be</w:t>
            </w:r>
            <w:r>
              <w:t xml:space="preserve"> set up using the Minister for Finance’s powers under the FMA, </w:t>
            </w:r>
            <w:r w:rsidR="00132807">
              <w:t xml:space="preserve">the relevant </w:t>
            </w:r>
            <w:r w:rsidR="000B30EE">
              <w:t>M</w:t>
            </w:r>
            <w:r w:rsidR="00132807">
              <w:t xml:space="preserve">inister </w:t>
            </w:r>
            <w:r w:rsidR="006C3F81">
              <w:t>should</w:t>
            </w:r>
            <w:r w:rsidR="00132807">
              <w:t xml:space="preserve"> submit a letter </w:t>
            </w:r>
            <w:r w:rsidR="006C3F81">
              <w:t xml:space="preserve">of request </w:t>
            </w:r>
            <w:r w:rsidR="00132807">
              <w:t xml:space="preserve">to the Minister for Finance, who will then consider </w:t>
            </w:r>
            <w:r>
              <w:t>the trust being proposed.</w:t>
            </w:r>
          </w:p>
          <w:p w14:paraId="36D06DDC" w14:textId="5F6166BE" w:rsidR="00AE2404" w:rsidRDefault="00F21AD1" w:rsidP="00260D97">
            <w:pPr>
              <w:pStyle w:val="Heading3numbered"/>
            </w:pPr>
            <w:bookmarkStart w:id="42" w:name="_Toc476658091"/>
            <w:r>
              <w:t>R</w:t>
            </w:r>
            <w:r w:rsidR="00AE2404">
              <w:t xml:space="preserve">eview of </w:t>
            </w:r>
            <w:r w:rsidR="007D5281">
              <w:t>t</w:t>
            </w:r>
            <w:r w:rsidR="00AE2404">
              <w:t xml:space="preserve">rust </w:t>
            </w:r>
            <w:r w:rsidR="007D5281">
              <w:t>a</w:t>
            </w:r>
            <w:r w:rsidR="00AE2404">
              <w:t>ccounts</w:t>
            </w:r>
            <w:bookmarkEnd w:id="42"/>
          </w:p>
          <w:p w14:paraId="75136E5B" w14:textId="0459EAF9" w:rsidR="00AE2404" w:rsidRDefault="00AE2404" w:rsidP="00DA412B">
            <w:pPr>
              <w:pStyle w:val="Listnumindent"/>
              <w:numPr>
                <w:ilvl w:val="6"/>
                <w:numId w:val="52"/>
              </w:numPr>
            </w:pPr>
            <w:r>
              <w:t xml:space="preserve">A Department must maintain and periodically review its </w:t>
            </w:r>
            <w:r w:rsidR="000B30EE">
              <w:t>t</w:t>
            </w:r>
            <w:r>
              <w:t xml:space="preserve">rust </w:t>
            </w:r>
            <w:r w:rsidR="000B30EE">
              <w:t>a</w:t>
            </w:r>
            <w:r>
              <w:t xml:space="preserve">ccounts to determine </w:t>
            </w:r>
            <w:r w:rsidR="00931301">
              <w:t>if there is a</w:t>
            </w:r>
            <w:r>
              <w:t xml:space="preserve"> continued need for the trust account and that the appropriate amounts are in it.</w:t>
            </w:r>
          </w:p>
          <w:p w14:paraId="057D864F" w14:textId="77777777" w:rsidR="00D06691" w:rsidRPr="00D06691" w:rsidRDefault="00D06691" w:rsidP="00260D97">
            <w:pPr>
              <w:pStyle w:val="Heading3numbered"/>
            </w:pPr>
            <w:bookmarkStart w:id="43" w:name="_Toc476658092"/>
            <w:r>
              <w:t>Specific requirements relating to the Treasury Trust Fund</w:t>
            </w:r>
            <w:bookmarkEnd w:id="43"/>
          </w:p>
          <w:p w14:paraId="3B9631E2" w14:textId="1E4FACD9" w:rsidR="00D06691" w:rsidRDefault="00D06691" w:rsidP="00DA412B">
            <w:pPr>
              <w:pStyle w:val="Listnumindent"/>
              <w:numPr>
                <w:ilvl w:val="6"/>
                <w:numId w:val="53"/>
              </w:numPr>
            </w:pPr>
            <w:r>
              <w:t>New arrangements must not be set up in the Treasury Trust Fund unless it is for its original purpose (i</w:t>
            </w:r>
            <w:r w:rsidR="00931301">
              <w:t>.</w:t>
            </w:r>
            <w:r>
              <w:t>e. the recording and accounting for unclaimed and unidentified moneys held by Departments).</w:t>
            </w:r>
            <w:r w:rsidR="005D34F2">
              <w:rPr>
                <w:rStyle w:val="FootnoteReference"/>
              </w:rPr>
              <w:footnoteReference w:id="16"/>
            </w:r>
            <w:r w:rsidR="00385705">
              <w:t xml:space="preserve"> </w:t>
            </w:r>
          </w:p>
          <w:p w14:paraId="0C0472E3" w14:textId="07500A96" w:rsidR="00AE63A1" w:rsidRDefault="00D06691" w:rsidP="00DA412B">
            <w:pPr>
              <w:pStyle w:val="Listnumindent"/>
              <w:numPr>
                <w:ilvl w:val="6"/>
                <w:numId w:val="53"/>
              </w:numPr>
            </w:pPr>
            <w:r>
              <w:t>Departments must undertake a regular review of their activity in the Treasury Trust Fund</w:t>
            </w:r>
            <w:r w:rsidR="00385705">
              <w:t xml:space="preserve"> to ensure that </w:t>
            </w:r>
            <w:r w:rsidR="00DF01A8">
              <w:t xml:space="preserve">inappropriate </w:t>
            </w:r>
            <w:r w:rsidR="00385705">
              <w:t>balances do not build up in the Treasury Trust Fund.</w:t>
            </w:r>
            <w:r>
              <w:t xml:space="preserve"> </w:t>
            </w:r>
          </w:p>
          <w:p w14:paraId="21B82264" w14:textId="77777777" w:rsidR="00D06691" w:rsidRDefault="00AE63A1" w:rsidP="00DA412B">
            <w:pPr>
              <w:pStyle w:val="Listnumindent"/>
              <w:numPr>
                <w:ilvl w:val="6"/>
                <w:numId w:val="53"/>
              </w:numPr>
            </w:pPr>
            <w:r>
              <w:t>Money</w:t>
            </w:r>
            <w:r w:rsidR="00385705">
              <w:t>s left unclaimed in</w:t>
            </w:r>
            <w:r>
              <w:t xml:space="preserve"> the Treasury Trust Fund </w:t>
            </w:r>
            <w:r w:rsidR="00385705">
              <w:t>after</w:t>
            </w:r>
            <w:r>
              <w:t xml:space="preserve"> a period of seven years must be transferred by the Department to the Consolidated Fund.</w:t>
            </w:r>
          </w:p>
          <w:p w14:paraId="08BA8968" w14:textId="48259F87" w:rsidR="00DF01A8" w:rsidRPr="00D06691" w:rsidRDefault="00DF01A8" w:rsidP="00DA412B">
            <w:pPr>
              <w:pStyle w:val="Listnumindent"/>
              <w:numPr>
                <w:ilvl w:val="6"/>
                <w:numId w:val="53"/>
              </w:numPr>
            </w:pPr>
            <w:r>
              <w:t xml:space="preserve">In certain circumstances, monies appropriated for one Department may be transferred to and held in </w:t>
            </w:r>
            <w:r w:rsidR="00221B15">
              <w:t xml:space="preserve">the </w:t>
            </w:r>
            <w:r>
              <w:t>Treasury Trust</w:t>
            </w:r>
            <w:r w:rsidR="00221B15">
              <w:t xml:space="preserve"> Fund</w:t>
            </w:r>
            <w:r>
              <w:t xml:space="preserve"> by a second Department in order to deliver services on behalf of that originating Department. Any excess monies held as at 30 June each year must be remitted back to the originating department on that date and repaid to the Consolidated Fund.</w:t>
            </w:r>
          </w:p>
          <w:p w14:paraId="300C2B73" w14:textId="33CEEA27" w:rsidR="00AE2404" w:rsidRDefault="00AE2404" w:rsidP="00260D97">
            <w:pPr>
              <w:pStyle w:val="Heading3numbered"/>
            </w:pPr>
            <w:bookmarkStart w:id="44" w:name="_Toc476658093"/>
            <w:r>
              <w:t xml:space="preserve">Closure of </w:t>
            </w:r>
            <w:r w:rsidR="007D5281">
              <w:t>t</w:t>
            </w:r>
            <w:r>
              <w:t xml:space="preserve">rust </w:t>
            </w:r>
            <w:r w:rsidR="007D5281">
              <w:t>a</w:t>
            </w:r>
            <w:r>
              <w:t>ccounts</w:t>
            </w:r>
            <w:bookmarkEnd w:id="44"/>
          </w:p>
          <w:p w14:paraId="5DEB9B70" w14:textId="77777777" w:rsidR="00AE2404" w:rsidRDefault="00AE2404" w:rsidP="00DA412B">
            <w:pPr>
              <w:pStyle w:val="Listnumindent"/>
              <w:numPr>
                <w:ilvl w:val="6"/>
                <w:numId w:val="54"/>
              </w:numPr>
            </w:pPr>
            <w:r>
              <w:t xml:space="preserve">A Department must close a trust account when the purpose for which </w:t>
            </w:r>
            <w:r w:rsidR="00931301">
              <w:t>it was</w:t>
            </w:r>
            <w:r>
              <w:t xml:space="preserve"> created no longer exists. </w:t>
            </w:r>
          </w:p>
          <w:p w14:paraId="32B70E86" w14:textId="571EC371" w:rsidR="00AE2404" w:rsidRPr="00FD4F65" w:rsidRDefault="00AE2404" w:rsidP="00221B15">
            <w:pPr>
              <w:pStyle w:val="Listnumindent"/>
              <w:numPr>
                <w:ilvl w:val="6"/>
                <w:numId w:val="54"/>
              </w:numPr>
            </w:pPr>
            <w:r>
              <w:t xml:space="preserve">Money standing to the credit of a </w:t>
            </w:r>
            <w:r w:rsidR="00221B15">
              <w:t>t</w:t>
            </w:r>
            <w:r>
              <w:t xml:space="preserve">rust </w:t>
            </w:r>
            <w:r w:rsidR="00221B15">
              <w:t>a</w:t>
            </w:r>
            <w:r>
              <w:t xml:space="preserve">ccount </w:t>
            </w:r>
            <w:r w:rsidR="000B30EE">
              <w:t>that</w:t>
            </w:r>
            <w:r>
              <w:t xml:space="preserve"> is closed</w:t>
            </w:r>
            <w:r w:rsidR="000B30EE">
              <w:t>,</w:t>
            </w:r>
            <w:r>
              <w:t xml:space="preserve"> must, on direction of the Minister for Finance, be credited to another </w:t>
            </w:r>
            <w:r w:rsidR="000B30EE">
              <w:t>t</w:t>
            </w:r>
            <w:r>
              <w:t xml:space="preserve">rust </w:t>
            </w:r>
            <w:r w:rsidR="000B30EE">
              <w:t>a</w:t>
            </w:r>
            <w:r>
              <w:t>ccount</w:t>
            </w:r>
            <w:r w:rsidR="00744342">
              <w:t>,</w:t>
            </w:r>
            <w:r>
              <w:t xml:space="preserve"> or to the Consolidated Fund. </w:t>
            </w:r>
          </w:p>
        </w:tc>
      </w:tr>
    </w:tbl>
    <w:p w14:paraId="42F3EE8F" w14:textId="77777777" w:rsidR="00AE2404" w:rsidRDefault="00AE2404" w:rsidP="00AE2404">
      <w:pPr>
        <w:pStyle w:val="Spacer"/>
      </w:pPr>
    </w:p>
    <w:p w14:paraId="2313A9B6" w14:textId="77777777" w:rsidR="00AE2404" w:rsidRPr="00862803" w:rsidRDefault="00AE2404" w:rsidP="00056F4E">
      <w:pPr>
        <w:pStyle w:val="Heading2indent"/>
      </w:pPr>
      <w:r w:rsidRPr="00862803">
        <w:t>Guidance</w:t>
      </w:r>
    </w:p>
    <w:p w14:paraId="446262B7" w14:textId="7D24A499" w:rsidR="00F324FC" w:rsidRPr="00F324FC" w:rsidRDefault="00F324FC" w:rsidP="000B672C">
      <w:pPr>
        <w:pStyle w:val="Heading3indent"/>
      </w:pPr>
      <w:r w:rsidRPr="00F324FC">
        <w:t>The Trust Fund</w:t>
      </w:r>
      <w:r>
        <w:t xml:space="preserve"> and </w:t>
      </w:r>
      <w:r w:rsidR="007D5281">
        <w:t>t</w:t>
      </w:r>
      <w:r>
        <w:t xml:space="preserve">rust </w:t>
      </w:r>
      <w:r w:rsidR="007D5281">
        <w:t>a</w:t>
      </w:r>
      <w:r>
        <w:t>ccounts</w:t>
      </w:r>
    </w:p>
    <w:p w14:paraId="0D71D7C8" w14:textId="77777777" w:rsidR="00AE2404" w:rsidRDefault="00AE2404" w:rsidP="00AE2404">
      <w:pPr>
        <w:pStyle w:val="NormalIndent"/>
        <w:rPr>
          <w:lang w:eastAsia="en-US"/>
        </w:rPr>
      </w:pPr>
      <w:r>
        <w:rPr>
          <w:lang w:eastAsia="en-US"/>
        </w:rPr>
        <w:t xml:space="preserve">The Trust Fund forms part of the State’s Public Account as a separate and discrete component. Part 4 of the FMA (sections 19 to 23) covers legislation </w:t>
      </w:r>
      <w:r w:rsidR="007E4EBA">
        <w:rPr>
          <w:lang w:eastAsia="en-US"/>
        </w:rPr>
        <w:t xml:space="preserve">regarding </w:t>
      </w:r>
      <w:r>
        <w:rPr>
          <w:lang w:eastAsia="en-US"/>
        </w:rPr>
        <w:t xml:space="preserve">the Trust Fund. </w:t>
      </w:r>
    </w:p>
    <w:p w14:paraId="49D94282" w14:textId="77777777" w:rsidR="00D92463" w:rsidRDefault="00D92463">
      <w:pPr>
        <w:spacing w:before="0" w:after="200"/>
        <w:rPr>
          <w:lang w:eastAsia="en-US"/>
        </w:rPr>
      </w:pPr>
      <w:r>
        <w:rPr>
          <w:lang w:eastAsia="en-US"/>
        </w:rPr>
        <w:br w:type="page"/>
      </w:r>
    </w:p>
    <w:p w14:paraId="636FCA34" w14:textId="31CE13C5" w:rsidR="00AE2404" w:rsidRDefault="007E4EBA" w:rsidP="00AE2404">
      <w:pPr>
        <w:pStyle w:val="NormalIndent"/>
        <w:rPr>
          <w:lang w:eastAsia="en-US"/>
        </w:rPr>
      </w:pPr>
      <w:r>
        <w:rPr>
          <w:lang w:eastAsia="en-US"/>
        </w:rPr>
        <w:lastRenderedPageBreak/>
        <w:t xml:space="preserve">Trust </w:t>
      </w:r>
      <w:r w:rsidR="007D5281">
        <w:rPr>
          <w:lang w:eastAsia="en-US"/>
        </w:rPr>
        <w:t>a</w:t>
      </w:r>
      <w:r>
        <w:rPr>
          <w:lang w:eastAsia="en-US"/>
        </w:rPr>
        <w:t xml:space="preserve">ccounts </w:t>
      </w:r>
      <w:r w:rsidR="00AE2404">
        <w:rPr>
          <w:lang w:eastAsia="en-US"/>
        </w:rPr>
        <w:t>in the Trust Fund may be established by:</w:t>
      </w:r>
    </w:p>
    <w:p w14:paraId="52AD0FB8" w14:textId="77777777" w:rsidR="00AE2404" w:rsidRDefault="00591A0D" w:rsidP="00B47296">
      <w:pPr>
        <w:pStyle w:val="Listnumindent"/>
        <w:contextualSpacing/>
        <w:rPr>
          <w:lang w:eastAsia="en-US"/>
        </w:rPr>
      </w:pPr>
      <w:r>
        <w:rPr>
          <w:lang w:eastAsia="en-US"/>
        </w:rPr>
        <w:t>an</w:t>
      </w:r>
      <w:r w:rsidR="00AE2404">
        <w:rPr>
          <w:lang w:eastAsia="en-US"/>
        </w:rPr>
        <w:t xml:space="preserve"> Act of Parliament, under legislation for a specific purpose</w:t>
      </w:r>
      <w:r w:rsidR="00AE2404">
        <w:rPr>
          <w:rStyle w:val="FootnoteReference"/>
          <w:lang w:eastAsia="en-US"/>
        </w:rPr>
        <w:footnoteReference w:id="17"/>
      </w:r>
      <w:r w:rsidR="00AE2404">
        <w:rPr>
          <w:lang w:eastAsia="en-US"/>
        </w:rPr>
        <w:t xml:space="preserve">, or </w:t>
      </w:r>
    </w:p>
    <w:p w14:paraId="5440F616" w14:textId="7533A54D" w:rsidR="00591A0D" w:rsidRDefault="00AE2404" w:rsidP="00B47296">
      <w:pPr>
        <w:pStyle w:val="Listnumindent"/>
        <w:contextualSpacing/>
        <w:rPr>
          <w:lang w:eastAsia="en-US"/>
        </w:rPr>
      </w:pPr>
      <w:r>
        <w:rPr>
          <w:lang w:eastAsia="en-US"/>
        </w:rPr>
        <w:t>the Minister for Finance,</w:t>
      </w:r>
      <w:r w:rsidR="00591A0D">
        <w:rPr>
          <w:lang w:eastAsia="en-US"/>
        </w:rPr>
        <w:t xml:space="preserve"> under </w:t>
      </w:r>
      <w:r w:rsidR="007D5281">
        <w:rPr>
          <w:lang w:eastAsia="en-US"/>
        </w:rPr>
        <w:t>s</w:t>
      </w:r>
      <w:r w:rsidR="00591A0D">
        <w:rPr>
          <w:lang w:eastAsia="en-US"/>
        </w:rPr>
        <w:t xml:space="preserve">ection 19(1) of the </w:t>
      </w:r>
      <w:r w:rsidR="00F324FC">
        <w:rPr>
          <w:lang w:eastAsia="en-US"/>
        </w:rPr>
        <w:t>FMA (</w:t>
      </w:r>
      <w:r w:rsidR="00545605">
        <w:rPr>
          <w:lang w:eastAsia="en-US"/>
        </w:rPr>
        <w:t>defining</w:t>
      </w:r>
      <w:r w:rsidR="00B053BB">
        <w:rPr>
          <w:lang w:eastAsia="en-US"/>
        </w:rPr>
        <w:t xml:space="preserve"> the purpose for which they are established</w:t>
      </w:r>
      <w:r w:rsidR="00F324FC">
        <w:rPr>
          <w:lang w:eastAsia="en-US"/>
        </w:rPr>
        <w:t>)</w:t>
      </w:r>
      <w:r w:rsidR="00B053BB">
        <w:rPr>
          <w:lang w:eastAsia="en-US"/>
        </w:rPr>
        <w:t>, following a request from a Depa</w:t>
      </w:r>
      <w:r w:rsidR="00591A0D">
        <w:rPr>
          <w:lang w:eastAsia="en-US"/>
        </w:rPr>
        <w:t xml:space="preserve">rtment. </w:t>
      </w:r>
    </w:p>
    <w:p w14:paraId="5B2D8794" w14:textId="77777777" w:rsidR="00AE2404" w:rsidRDefault="00AE2404" w:rsidP="00B47296">
      <w:pPr>
        <w:pStyle w:val="NormalIndent"/>
        <w:rPr>
          <w:lang w:eastAsia="en-US"/>
        </w:rPr>
      </w:pPr>
      <w:r>
        <w:rPr>
          <w:lang w:eastAsia="en-US"/>
        </w:rPr>
        <w:t>A t</w:t>
      </w:r>
      <w:r w:rsidRPr="001159A9">
        <w:rPr>
          <w:lang w:eastAsia="en-US"/>
        </w:rPr>
        <w:t>rust account established by a statute will be restricted to the purposes set out in that statute</w:t>
      </w:r>
      <w:r>
        <w:rPr>
          <w:lang w:eastAsia="en-US"/>
        </w:rPr>
        <w:t>.</w:t>
      </w:r>
    </w:p>
    <w:p w14:paraId="7CB70D95" w14:textId="370638E5" w:rsidR="00AE2404" w:rsidRDefault="00AE2404" w:rsidP="00B47296">
      <w:pPr>
        <w:pStyle w:val="NormalIndent"/>
        <w:rPr>
          <w:lang w:eastAsia="en-US"/>
        </w:rPr>
      </w:pPr>
      <w:r>
        <w:rPr>
          <w:lang w:eastAsia="en-US"/>
        </w:rPr>
        <w:t xml:space="preserve">Trust </w:t>
      </w:r>
      <w:r w:rsidR="007D5281">
        <w:rPr>
          <w:lang w:eastAsia="en-US"/>
        </w:rPr>
        <w:t>a</w:t>
      </w:r>
      <w:r>
        <w:rPr>
          <w:lang w:eastAsia="en-US"/>
        </w:rPr>
        <w:t xml:space="preserve">ccounts are usually established for the use of a single Department, although in some instances a </w:t>
      </w:r>
      <w:r w:rsidR="007D5281">
        <w:rPr>
          <w:lang w:eastAsia="en-US"/>
        </w:rPr>
        <w:t>t</w:t>
      </w:r>
      <w:r>
        <w:rPr>
          <w:lang w:eastAsia="en-US"/>
        </w:rPr>
        <w:t xml:space="preserve">rust </w:t>
      </w:r>
      <w:r w:rsidR="007D5281">
        <w:rPr>
          <w:lang w:eastAsia="en-US"/>
        </w:rPr>
        <w:t>a</w:t>
      </w:r>
      <w:r>
        <w:rPr>
          <w:lang w:eastAsia="en-US"/>
        </w:rPr>
        <w:t>ccount may be accessed by more than one Department, or may be generic in nature.</w:t>
      </w:r>
    </w:p>
    <w:p w14:paraId="1590FEA6" w14:textId="77777777" w:rsidR="00AE2404" w:rsidRDefault="00AE2404" w:rsidP="00AE2404">
      <w:pPr>
        <w:pStyle w:val="NormalIndent"/>
        <w:rPr>
          <w:lang w:eastAsia="en-US"/>
        </w:rPr>
      </w:pPr>
      <w:r>
        <w:rPr>
          <w:lang w:eastAsia="en-US"/>
        </w:rPr>
        <w:t>The Trust Fund comprises the following types of accounts:</w:t>
      </w:r>
    </w:p>
    <w:p w14:paraId="7685E0F8" w14:textId="0CE6D170" w:rsidR="00AE2404" w:rsidRDefault="00AE2404" w:rsidP="00B47296">
      <w:pPr>
        <w:pStyle w:val="Bulletindent"/>
        <w:rPr>
          <w:lang w:eastAsia="en-US"/>
        </w:rPr>
      </w:pPr>
      <w:r w:rsidRPr="00D948EB">
        <w:rPr>
          <w:b/>
        </w:rPr>
        <w:t xml:space="preserve">State Government </w:t>
      </w:r>
      <w:r w:rsidR="007D5281">
        <w:rPr>
          <w:b/>
        </w:rPr>
        <w:t>t</w:t>
      </w:r>
      <w:r w:rsidRPr="00D948EB">
        <w:rPr>
          <w:b/>
        </w:rPr>
        <w:t xml:space="preserve">rust </w:t>
      </w:r>
      <w:r w:rsidR="007D5281">
        <w:rPr>
          <w:b/>
        </w:rPr>
        <w:t>a</w:t>
      </w:r>
      <w:r w:rsidRPr="00D948EB">
        <w:rPr>
          <w:b/>
        </w:rPr>
        <w:t>ccounts</w:t>
      </w:r>
      <w:r>
        <w:t xml:space="preserve"> </w:t>
      </w:r>
      <w:r>
        <w:rPr>
          <w:lang w:eastAsia="en-US"/>
        </w:rPr>
        <w:t>established to record the receipt of certain State funds and their disbursement for specified purposes. These include trust accounts established to record the receipt and disbursement of State revenues which are hypothecated (through special appropriations) to particular purposes, e.g. gaming revenue is hypothecated for the provision of health services;</w:t>
      </w:r>
    </w:p>
    <w:p w14:paraId="091492EB" w14:textId="0DFD6EA3" w:rsidR="00AE2404" w:rsidRDefault="00AE2404" w:rsidP="00B47296">
      <w:pPr>
        <w:pStyle w:val="Bulletindent"/>
        <w:rPr>
          <w:lang w:eastAsia="en-US"/>
        </w:rPr>
      </w:pPr>
      <w:r w:rsidRPr="008070A5">
        <w:rPr>
          <w:b/>
        </w:rPr>
        <w:t xml:space="preserve">Commonwealth and </w:t>
      </w:r>
      <w:r>
        <w:rPr>
          <w:b/>
        </w:rPr>
        <w:t>j</w:t>
      </w:r>
      <w:r w:rsidRPr="008070A5">
        <w:rPr>
          <w:b/>
        </w:rPr>
        <w:t xml:space="preserve">oint Commonwealth and State </w:t>
      </w:r>
      <w:r w:rsidR="007D5281">
        <w:rPr>
          <w:b/>
        </w:rPr>
        <w:t>a</w:t>
      </w:r>
      <w:r w:rsidRPr="008070A5">
        <w:rPr>
          <w:b/>
        </w:rPr>
        <w:t>ccounts</w:t>
      </w:r>
      <w:r>
        <w:rPr>
          <w:lang w:eastAsia="en-US"/>
        </w:rPr>
        <w:t xml:space="preserve"> established to record the receipt and disbursement of specific purpose payments from the Commonwealth Government which are on-passed by the State to other organisations (such as non-government schools</w:t>
      </w:r>
      <w:r w:rsidR="00C80A0E">
        <w:rPr>
          <w:lang w:eastAsia="en-US"/>
        </w:rPr>
        <w:t xml:space="preserve"> </w:t>
      </w:r>
      <w:r w:rsidR="00385705">
        <w:rPr>
          <w:lang w:eastAsia="en-US"/>
        </w:rPr>
        <w:t>and</w:t>
      </w:r>
      <w:r>
        <w:rPr>
          <w:lang w:eastAsia="en-US"/>
        </w:rPr>
        <w:t xml:space="preserve"> local government). </w:t>
      </w:r>
      <w:r w:rsidRPr="0089523A">
        <w:rPr>
          <w:lang w:eastAsia="en-US"/>
        </w:rPr>
        <w:t>These accoun</w:t>
      </w:r>
      <w:r w:rsidR="007E4EBA">
        <w:rPr>
          <w:lang w:eastAsia="en-US"/>
        </w:rPr>
        <w:t xml:space="preserve">ts are generally established to </w:t>
      </w:r>
      <w:r w:rsidRPr="0089523A">
        <w:rPr>
          <w:lang w:eastAsia="en-US"/>
        </w:rPr>
        <w:t>comply with Commonwealth legislation or specific agreements with the Commonwealth</w:t>
      </w:r>
      <w:r>
        <w:rPr>
          <w:lang w:eastAsia="en-US"/>
        </w:rPr>
        <w:t>;</w:t>
      </w:r>
    </w:p>
    <w:p w14:paraId="7554E88E" w14:textId="2CA9F839" w:rsidR="00AE2404" w:rsidRDefault="00AE2404" w:rsidP="00B47296">
      <w:pPr>
        <w:pStyle w:val="Bulletindent"/>
      </w:pPr>
      <w:r w:rsidRPr="008070A5">
        <w:rPr>
          <w:b/>
        </w:rPr>
        <w:t>Spec</w:t>
      </w:r>
      <w:r w:rsidR="00591A0D">
        <w:rPr>
          <w:b/>
        </w:rPr>
        <w:t xml:space="preserve">ific </w:t>
      </w:r>
      <w:r w:rsidR="007D5281">
        <w:rPr>
          <w:b/>
        </w:rPr>
        <w:t>p</w:t>
      </w:r>
      <w:r w:rsidR="00591A0D">
        <w:rPr>
          <w:b/>
        </w:rPr>
        <w:t xml:space="preserve">urpose </w:t>
      </w:r>
      <w:r w:rsidR="007D5281">
        <w:rPr>
          <w:b/>
        </w:rPr>
        <w:t>o</w:t>
      </w:r>
      <w:r w:rsidR="00591A0D">
        <w:rPr>
          <w:b/>
        </w:rPr>
        <w:t xml:space="preserve">perating </w:t>
      </w:r>
      <w:r w:rsidR="007D5281">
        <w:rPr>
          <w:b/>
        </w:rPr>
        <w:t>a</w:t>
      </w:r>
      <w:r w:rsidR="00591A0D">
        <w:rPr>
          <w:b/>
        </w:rPr>
        <w:t>ccounts</w:t>
      </w:r>
      <w:r>
        <w:t xml:space="preserve"> </w:t>
      </w:r>
      <w:r w:rsidR="00591A0D">
        <w:t xml:space="preserve">established to </w:t>
      </w:r>
      <w:r>
        <w:t xml:space="preserve">essentially quarantine commercial activities in Departments from the rest of the Department’s business. They incorporate: </w:t>
      </w:r>
    </w:p>
    <w:p w14:paraId="556A8FB6" w14:textId="33E63D0F" w:rsidR="00AE2404" w:rsidRPr="00B47296" w:rsidRDefault="00AE2404" w:rsidP="00B47296">
      <w:pPr>
        <w:pStyle w:val="Listnumindent"/>
        <w:numPr>
          <w:ilvl w:val="6"/>
          <w:numId w:val="94"/>
        </w:numPr>
        <w:tabs>
          <w:tab w:val="clear" w:pos="1296"/>
          <w:tab w:val="num" w:pos="2016"/>
        </w:tabs>
        <w:ind w:left="1656"/>
        <w:contextualSpacing/>
      </w:pPr>
      <w:r>
        <w:t>specific p</w:t>
      </w:r>
      <w:r w:rsidRPr="00B47296">
        <w:t xml:space="preserve">urpose </w:t>
      </w:r>
      <w:r w:rsidR="007D5281" w:rsidRPr="00B47296">
        <w:t>t</w:t>
      </w:r>
      <w:r w:rsidRPr="00B47296">
        <w:t xml:space="preserve">rust </w:t>
      </w:r>
      <w:r w:rsidR="007D5281" w:rsidRPr="00B47296">
        <w:t>a</w:t>
      </w:r>
      <w:r w:rsidRPr="00B47296">
        <w:t>ccounts established under Section 19 of the FMA;</w:t>
      </w:r>
    </w:p>
    <w:p w14:paraId="74182A55" w14:textId="3ED53E3E" w:rsidR="00AE2404" w:rsidRPr="00B47296" w:rsidRDefault="00CC37A7" w:rsidP="00B47296">
      <w:pPr>
        <w:pStyle w:val="Listnumindent"/>
        <w:tabs>
          <w:tab w:val="clear" w:pos="1296"/>
          <w:tab w:val="num" w:pos="1656"/>
        </w:tabs>
        <w:ind w:left="1656"/>
        <w:contextualSpacing/>
      </w:pPr>
      <w:r w:rsidRPr="00B47296">
        <w:t>w</w:t>
      </w:r>
      <w:r w:rsidR="00AE2404" w:rsidRPr="00B47296">
        <w:t xml:space="preserve">orking </w:t>
      </w:r>
      <w:r w:rsidR="007D5281" w:rsidRPr="00B47296">
        <w:t>a</w:t>
      </w:r>
      <w:r w:rsidR="00AE2404" w:rsidRPr="00B47296">
        <w:t>ccounts established pursuant to Section 23 of the FMA; and</w:t>
      </w:r>
    </w:p>
    <w:p w14:paraId="5E1CEA53" w14:textId="15C19742" w:rsidR="00AE2404" w:rsidRDefault="00CC37A7" w:rsidP="00B47296">
      <w:pPr>
        <w:pStyle w:val="Listnumindent"/>
        <w:tabs>
          <w:tab w:val="clear" w:pos="1296"/>
          <w:tab w:val="num" w:pos="1656"/>
        </w:tabs>
        <w:ind w:left="1656"/>
        <w:contextualSpacing/>
      </w:pPr>
      <w:r w:rsidRPr="00B47296">
        <w:t>t</w:t>
      </w:r>
      <w:r w:rsidR="00AE2404" w:rsidRPr="00B47296">
        <w:t>rust acco</w:t>
      </w:r>
      <w:r w:rsidR="00AE2404">
        <w:t>unts established under specific legislation;</w:t>
      </w:r>
    </w:p>
    <w:p w14:paraId="16565E47" w14:textId="7146ECE3" w:rsidR="00AE2404" w:rsidRPr="00545605" w:rsidRDefault="00AE2404" w:rsidP="00B47296">
      <w:pPr>
        <w:pStyle w:val="Bulletindent"/>
        <w:rPr>
          <w:lang w:eastAsia="en-US"/>
        </w:rPr>
      </w:pPr>
      <w:r w:rsidRPr="00545605">
        <w:rPr>
          <w:b/>
        </w:rPr>
        <w:t xml:space="preserve">Treasury Trust Fund, </w:t>
      </w:r>
      <w:r w:rsidR="007D5281">
        <w:rPr>
          <w:b/>
        </w:rPr>
        <w:t>a</w:t>
      </w:r>
      <w:r w:rsidRPr="00545605">
        <w:rPr>
          <w:b/>
        </w:rPr>
        <w:t xml:space="preserve">gency and </w:t>
      </w:r>
      <w:r w:rsidR="007D5281">
        <w:rPr>
          <w:b/>
        </w:rPr>
        <w:t>d</w:t>
      </w:r>
      <w:r w:rsidRPr="00545605">
        <w:rPr>
          <w:b/>
        </w:rPr>
        <w:t xml:space="preserve">eposits </w:t>
      </w:r>
      <w:r w:rsidR="007D5281">
        <w:rPr>
          <w:b/>
        </w:rPr>
        <w:t>a</w:t>
      </w:r>
      <w:r w:rsidRPr="00545605">
        <w:rPr>
          <w:b/>
        </w:rPr>
        <w:t>ccounts</w:t>
      </w:r>
      <w:r w:rsidRPr="00545605">
        <w:t xml:space="preserve"> – Some of the larger accounts in this category are the Victorian Government Solicitor’s Trust Account, Estate Agents Guarantee Trust Account, Conservation Agency Trust Account, Finance Agency Trust Account, and Public Works Agency Trust Account. Revenue in Treasury Trust Fund includes unidentified money and un</w:t>
      </w:r>
      <w:r w:rsidR="0015047B">
        <w:t>-</w:t>
      </w:r>
      <w:r w:rsidRPr="00545605">
        <w:t>presented cheques;</w:t>
      </w:r>
    </w:p>
    <w:p w14:paraId="0A6B8165" w14:textId="77777777" w:rsidR="00AE2404" w:rsidRDefault="00AE2404" w:rsidP="00B47296">
      <w:pPr>
        <w:pStyle w:val="Bulletindent"/>
        <w:rPr>
          <w:lang w:eastAsia="en-US"/>
        </w:rPr>
      </w:pPr>
      <w:r w:rsidRPr="001E3BE7">
        <w:rPr>
          <w:b/>
          <w:lang w:eastAsia="en-US"/>
        </w:rPr>
        <w:t>Suspense accounts</w:t>
      </w:r>
      <w:r>
        <w:rPr>
          <w:lang w:eastAsia="en-US"/>
        </w:rPr>
        <w:t xml:space="preserve"> established for accounting purposes;</w:t>
      </w:r>
    </w:p>
    <w:p w14:paraId="594FAAA0" w14:textId="77777777" w:rsidR="00AE2404" w:rsidRDefault="00AE2404" w:rsidP="00B47296">
      <w:pPr>
        <w:pStyle w:val="Bulletindent"/>
        <w:rPr>
          <w:lang w:eastAsia="en-US"/>
        </w:rPr>
      </w:pPr>
      <w:r w:rsidRPr="001E3BE7">
        <w:rPr>
          <w:b/>
          <w:lang w:eastAsia="en-US"/>
        </w:rPr>
        <w:t>Working accounts</w:t>
      </w:r>
      <w:r>
        <w:rPr>
          <w:lang w:eastAsia="en-US"/>
        </w:rPr>
        <w:t xml:space="preserve"> established for departmental commercial and service units; and</w:t>
      </w:r>
    </w:p>
    <w:p w14:paraId="60519909" w14:textId="29873BF1" w:rsidR="00AE2404" w:rsidRPr="00894209" w:rsidRDefault="00AE2404" w:rsidP="00B47296">
      <w:pPr>
        <w:pStyle w:val="Bulletindent"/>
        <w:rPr>
          <w:lang w:eastAsia="en-US"/>
        </w:rPr>
      </w:pPr>
      <w:r>
        <w:rPr>
          <w:lang w:eastAsia="en-US"/>
        </w:rPr>
        <w:t xml:space="preserve">Accounts established to facilitate the receipt and disbursement of private funds held by the State in trust. </w:t>
      </w:r>
      <w:r w:rsidRPr="00894209">
        <w:rPr>
          <w:lang w:eastAsia="en-US"/>
        </w:rPr>
        <w:t xml:space="preserve">These moneys </w:t>
      </w:r>
      <w:r>
        <w:rPr>
          <w:lang w:eastAsia="en-US"/>
        </w:rPr>
        <w:t xml:space="preserve">may </w:t>
      </w:r>
      <w:r w:rsidRPr="00894209">
        <w:rPr>
          <w:lang w:eastAsia="en-US"/>
        </w:rPr>
        <w:t xml:space="preserve">include bequests, donations, prizes, scholarships and research grants. This is generally in the </w:t>
      </w:r>
      <w:r w:rsidR="00440165">
        <w:rPr>
          <w:lang w:eastAsia="en-US"/>
        </w:rPr>
        <w:t>form</w:t>
      </w:r>
      <w:r w:rsidRPr="00894209">
        <w:rPr>
          <w:lang w:eastAsia="en-US"/>
        </w:rPr>
        <w:t xml:space="preserve"> of a true trust</w:t>
      </w:r>
      <w:r w:rsidR="00440165">
        <w:rPr>
          <w:lang w:eastAsia="en-US"/>
        </w:rPr>
        <w:t>,</w:t>
      </w:r>
      <w:r w:rsidRPr="00894209">
        <w:rPr>
          <w:lang w:eastAsia="en-US"/>
        </w:rPr>
        <w:t xml:space="preserve"> which can be either administered or controlled by the State and mostly involves management of money provided by a member or members of the public for a specific purpose.</w:t>
      </w:r>
    </w:p>
    <w:p w14:paraId="3568D11A" w14:textId="146E191F" w:rsidR="00AE2404" w:rsidRDefault="00AE2404" w:rsidP="00AE2404">
      <w:pPr>
        <w:pStyle w:val="NormalIndent"/>
        <w:rPr>
          <w:lang w:eastAsia="en-US"/>
        </w:rPr>
      </w:pPr>
      <w:r w:rsidRPr="00024438">
        <w:rPr>
          <w:lang w:eastAsia="en-US"/>
        </w:rPr>
        <w:t xml:space="preserve">The specific purpose for the establishment of each </w:t>
      </w:r>
      <w:r w:rsidR="00440165">
        <w:rPr>
          <w:lang w:eastAsia="en-US"/>
        </w:rPr>
        <w:t>t</w:t>
      </w:r>
      <w:r w:rsidRPr="00024438">
        <w:rPr>
          <w:lang w:eastAsia="en-US"/>
        </w:rPr>
        <w:t xml:space="preserve">rust </w:t>
      </w:r>
      <w:r w:rsidR="00440165">
        <w:rPr>
          <w:lang w:eastAsia="en-US"/>
        </w:rPr>
        <w:t>a</w:t>
      </w:r>
      <w:r w:rsidRPr="00024438">
        <w:rPr>
          <w:lang w:eastAsia="en-US"/>
        </w:rPr>
        <w:t xml:space="preserve">ccount is </w:t>
      </w:r>
      <w:r>
        <w:rPr>
          <w:lang w:eastAsia="en-US"/>
        </w:rPr>
        <w:t xml:space="preserve">either </w:t>
      </w:r>
      <w:r w:rsidRPr="00024438">
        <w:rPr>
          <w:lang w:eastAsia="en-US"/>
        </w:rPr>
        <w:t>defined by the Minister</w:t>
      </w:r>
      <w:r>
        <w:rPr>
          <w:lang w:eastAsia="en-US"/>
        </w:rPr>
        <w:t xml:space="preserve"> for Finance (</w:t>
      </w:r>
      <w:r w:rsidRPr="00024438">
        <w:rPr>
          <w:lang w:eastAsia="en-US"/>
        </w:rPr>
        <w:t xml:space="preserve">pursuant to </w:t>
      </w:r>
      <w:r w:rsidR="00440165">
        <w:rPr>
          <w:lang w:eastAsia="en-US"/>
        </w:rPr>
        <w:t>s</w:t>
      </w:r>
      <w:r w:rsidRPr="00024438">
        <w:rPr>
          <w:lang w:eastAsia="en-US"/>
        </w:rPr>
        <w:t>ection 19 of the FMA</w:t>
      </w:r>
      <w:r>
        <w:rPr>
          <w:lang w:eastAsia="en-US"/>
        </w:rPr>
        <w:t>)</w:t>
      </w:r>
      <w:r w:rsidRPr="00024438">
        <w:rPr>
          <w:lang w:eastAsia="en-US"/>
        </w:rPr>
        <w:t xml:space="preserve"> or is c</w:t>
      </w:r>
      <w:r>
        <w:rPr>
          <w:lang w:eastAsia="en-US"/>
        </w:rPr>
        <w:t xml:space="preserve">ontained in </w:t>
      </w:r>
      <w:r w:rsidR="007E4EBA">
        <w:rPr>
          <w:lang w:eastAsia="en-US"/>
        </w:rPr>
        <w:t xml:space="preserve">a </w:t>
      </w:r>
      <w:r>
        <w:rPr>
          <w:lang w:eastAsia="en-US"/>
        </w:rPr>
        <w:t>separate statute.</w:t>
      </w:r>
    </w:p>
    <w:p w14:paraId="7E738BFB" w14:textId="77777777" w:rsidR="00D92463" w:rsidRDefault="00D92463">
      <w:pPr>
        <w:spacing w:before="0" w:after="200"/>
        <w:rPr>
          <w:rFonts w:asciiTheme="majorHAnsi" w:eastAsiaTheme="majorEastAsia" w:hAnsiTheme="majorHAnsi" w:cstheme="majorBidi"/>
          <w:b/>
          <w:bCs/>
          <w:iCs/>
          <w:color w:val="53565A"/>
          <w:sz w:val="21"/>
        </w:rPr>
      </w:pPr>
      <w:r>
        <w:br w:type="page"/>
      </w:r>
    </w:p>
    <w:p w14:paraId="112A9C54" w14:textId="079BC8D0" w:rsidR="00AE2404" w:rsidRDefault="00AE2404" w:rsidP="00B47296">
      <w:pPr>
        <w:pStyle w:val="Heading4indent"/>
      </w:pPr>
      <w:r>
        <w:lastRenderedPageBreak/>
        <w:t xml:space="preserve">Criteria to consider </w:t>
      </w:r>
      <w:r w:rsidR="0084318E">
        <w:t xml:space="preserve">when </w:t>
      </w:r>
      <w:r>
        <w:t>request</w:t>
      </w:r>
      <w:r w:rsidR="0084318E">
        <w:t xml:space="preserve">ing </w:t>
      </w:r>
      <w:r>
        <w:t xml:space="preserve">the creation of a </w:t>
      </w:r>
      <w:r w:rsidR="00440165">
        <w:t>t</w:t>
      </w:r>
      <w:r>
        <w:t xml:space="preserve">rust </w:t>
      </w:r>
      <w:r w:rsidR="00440165">
        <w:t>a</w:t>
      </w:r>
      <w:r>
        <w:t>ccount</w:t>
      </w:r>
    </w:p>
    <w:p w14:paraId="2ABBF9BD" w14:textId="77777777" w:rsidR="00AE2404" w:rsidRDefault="0084318E" w:rsidP="00AE2404">
      <w:pPr>
        <w:pStyle w:val="NormalIndent"/>
        <w:rPr>
          <w:lang w:eastAsia="en-US"/>
        </w:rPr>
      </w:pPr>
      <w:r>
        <w:rPr>
          <w:lang w:eastAsia="en-US"/>
        </w:rPr>
        <w:t>A</w:t>
      </w:r>
      <w:r w:rsidR="00AE2404">
        <w:rPr>
          <w:lang w:eastAsia="en-US"/>
        </w:rPr>
        <w:t xml:space="preserve"> Department should </w:t>
      </w:r>
      <w:r w:rsidR="004A61E2">
        <w:rPr>
          <w:lang w:eastAsia="en-US"/>
        </w:rPr>
        <w:t xml:space="preserve">consider </w:t>
      </w:r>
      <w:r w:rsidR="00AE2404">
        <w:rPr>
          <w:lang w:eastAsia="en-US"/>
        </w:rPr>
        <w:t xml:space="preserve">the following criteria when </w:t>
      </w:r>
      <w:r w:rsidR="004A61E2">
        <w:rPr>
          <w:lang w:eastAsia="en-US"/>
        </w:rPr>
        <w:t>requesting</w:t>
      </w:r>
      <w:r>
        <w:rPr>
          <w:lang w:eastAsia="en-US"/>
        </w:rPr>
        <w:t xml:space="preserve"> the </w:t>
      </w:r>
      <w:r w:rsidR="00AE2404">
        <w:rPr>
          <w:lang w:eastAsia="en-US"/>
        </w:rPr>
        <w:t>creat</w:t>
      </w:r>
      <w:r>
        <w:rPr>
          <w:lang w:eastAsia="en-US"/>
        </w:rPr>
        <w:t>ion of</w:t>
      </w:r>
      <w:r w:rsidR="00AE2404">
        <w:rPr>
          <w:lang w:eastAsia="en-US"/>
        </w:rPr>
        <w:t xml:space="preserve"> a </w:t>
      </w:r>
      <w:r w:rsidR="004A61E2">
        <w:rPr>
          <w:lang w:eastAsia="en-US"/>
        </w:rPr>
        <w:t xml:space="preserve">new </w:t>
      </w:r>
      <w:r w:rsidR="00AE2404">
        <w:rPr>
          <w:lang w:eastAsia="en-US"/>
        </w:rPr>
        <w:t>trust account:</w:t>
      </w:r>
    </w:p>
    <w:p w14:paraId="08689C7C" w14:textId="77777777" w:rsidR="004A61E2" w:rsidRPr="00FD4F65" w:rsidRDefault="004A61E2" w:rsidP="00B47296">
      <w:pPr>
        <w:pStyle w:val="Heading5"/>
        <w:rPr>
          <w:lang w:eastAsia="en-US"/>
        </w:rPr>
      </w:pPr>
      <w:r w:rsidRPr="00FD4F65">
        <w:rPr>
          <w:lang w:eastAsia="en-US"/>
        </w:rPr>
        <w:t>Criteria 1 – Purpose of the proposed trust account</w:t>
      </w:r>
    </w:p>
    <w:p w14:paraId="3047E5D7" w14:textId="3ED4846F" w:rsidR="00AE2404" w:rsidRPr="00FD4F65" w:rsidRDefault="0084318E" w:rsidP="00DA412B">
      <w:pPr>
        <w:pStyle w:val="ListParagraph"/>
        <w:numPr>
          <w:ilvl w:val="0"/>
          <w:numId w:val="55"/>
        </w:numPr>
        <w:spacing w:line="252" w:lineRule="auto"/>
      </w:pPr>
      <w:r w:rsidRPr="00FD4F65">
        <w:t xml:space="preserve">What is the </w:t>
      </w:r>
      <w:r w:rsidR="00AE2404" w:rsidRPr="00FD4F65">
        <w:t xml:space="preserve">purpose </w:t>
      </w:r>
      <w:r w:rsidRPr="00FD4F65">
        <w:t>of the intended</w:t>
      </w:r>
      <w:r w:rsidR="00AE2404" w:rsidRPr="00FD4F65">
        <w:t xml:space="preserve"> trust </w:t>
      </w:r>
      <w:r w:rsidR="006979A0" w:rsidRPr="00FD4F65">
        <w:t xml:space="preserve">(it </w:t>
      </w:r>
      <w:r w:rsidR="00AE2404" w:rsidRPr="00FD4F65">
        <w:t>must be clearly explained</w:t>
      </w:r>
      <w:r w:rsidR="006979A0" w:rsidRPr="00FD4F65">
        <w:t>)</w:t>
      </w:r>
      <w:r w:rsidR="00CC37A7">
        <w:t>?</w:t>
      </w:r>
    </w:p>
    <w:p w14:paraId="514923B3" w14:textId="270CF52A" w:rsidR="004A61E2" w:rsidRDefault="004A61E2" w:rsidP="00DA412B">
      <w:pPr>
        <w:pStyle w:val="ListParagraph"/>
        <w:numPr>
          <w:ilvl w:val="0"/>
          <w:numId w:val="55"/>
        </w:numPr>
        <w:spacing w:line="252" w:lineRule="auto"/>
      </w:pPr>
      <w:r w:rsidRPr="00FD4F65">
        <w:t>C</w:t>
      </w:r>
      <w:r w:rsidR="00595779" w:rsidRPr="00FD4F65">
        <w:t>ould</w:t>
      </w:r>
      <w:r w:rsidRPr="00FD4F65">
        <w:t xml:space="preserve"> an existing trust account be used for the required purpose?</w:t>
      </w:r>
    </w:p>
    <w:p w14:paraId="07960DEE" w14:textId="3D06DB7A" w:rsidR="00270B6A" w:rsidRPr="00FD4F65" w:rsidRDefault="00270B6A" w:rsidP="00DA412B">
      <w:pPr>
        <w:pStyle w:val="ListParagraph"/>
        <w:numPr>
          <w:ilvl w:val="0"/>
          <w:numId w:val="55"/>
        </w:numPr>
        <w:spacing w:line="252" w:lineRule="auto"/>
      </w:pPr>
      <w:r>
        <w:t>Given the flexibility of the appropriations framework, would a</w:t>
      </w:r>
      <w:r w:rsidR="00440165">
        <w:t xml:space="preserve"> s</w:t>
      </w:r>
      <w:r>
        <w:t>ection 29 a</w:t>
      </w:r>
      <w:r w:rsidR="00440165">
        <w:t>rrangement</w:t>
      </w:r>
      <w:r>
        <w:t xml:space="preserve"> suffice?</w:t>
      </w:r>
    </w:p>
    <w:p w14:paraId="7DEB6583" w14:textId="7D4C8EC8" w:rsidR="004A61E2" w:rsidRPr="00FD4F65" w:rsidRDefault="004A61E2" w:rsidP="00B47296">
      <w:pPr>
        <w:pStyle w:val="Heading5"/>
        <w:rPr>
          <w:lang w:eastAsia="en-US"/>
        </w:rPr>
      </w:pPr>
      <w:r w:rsidRPr="00FD4F65">
        <w:rPr>
          <w:lang w:eastAsia="en-US"/>
        </w:rPr>
        <w:t>Criteria 2 –</w:t>
      </w:r>
      <w:r w:rsidR="00B47296">
        <w:rPr>
          <w:lang w:eastAsia="en-US"/>
        </w:rPr>
        <w:t xml:space="preserve"> </w:t>
      </w:r>
      <w:r w:rsidR="00FD4F65">
        <w:rPr>
          <w:lang w:eastAsia="en-US"/>
        </w:rPr>
        <w:t xml:space="preserve">A </w:t>
      </w:r>
      <w:r w:rsidR="00B47296">
        <w:rPr>
          <w:lang w:eastAsia="en-US"/>
        </w:rPr>
        <w:t>need to quarantine</w:t>
      </w:r>
      <w:r w:rsidRPr="00FD4F65">
        <w:rPr>
          <w:lang w:eastAsia="en-US"/>
        </w:rPr>
        <w:t>/set aside the money from the rest of the Department’s operations</w:t>
      </w:r>
    </w:p>
    <w:p w14:paraId="4AA24A7A" w14:textId="77777777" w:rsidR="004A61E2" w:rsidRPr="00FD4F65" w:rsidRDefault="004A61E2" w:rsidP="00DA412B">
      <w:pPr>
        <w:pStyle w:val="ListParagraph"/>
        <w:numPr>
          <w:ilvl w:val="0"/>
          <w:numId w:val="55"/>
        </w:numPr>
        <w:spacing w:line="252" w:lineRule="auto"/>
      </w:pPr>
      <w:r>
        <w:t>Are the moneys being held in trust for a third party?</w:t>
      </w:r>
      <w:r w:rsidR="00A64DD5">
        <w:t xml:space="preserve"> Is it likely to be a long-term </w:t>
      </w:r>
      <w:r w:rsidR="00A64DD5" w:rsidRPr="00FD4F65">
        <w:t>arrangement?</w:t>
      </w:r>
    </w:p>
    <w:p w14:paraId="4F0FF5C6" w14:textId="79E97EC5" w:rsidR="004A61E2" w:rsidRPr="00FD4F65" w:rsidRDefault="004A61E2" w:rsidP="00DA412B">
      <w:pPr>
        <w:pStyle w:val="ListParagraph"/>
        <w:numPr>
          <w:ilvl w:val="0"/>
          <w:numId w:val="55"/>
        </w:numPr>
        <w:spacing w:line="252" w:lineRule="auto"/>
      </w:pPr>
      <w:r w:rsidRPr="00FD4F65">
        <w:t>Is there legislation that prescribes such an arrangement be set up</w:t>
      </w:r>
      <w:r w:rsidR="00A64DD5" w:rsidRPr="00FD4F65">
        <w:t xml:space="preserve"> (e.g. pursuant to a Commonwealth Act)</w:t>
      </w:r>
      <w:r w:rsidR="00CC37A7">
        <w:t>?</w:t>
      </w:r>
    </w:p>
    <w:p w14:paraId="32548366" w14:textId="77777777" w:rsidR="004A61E2" w:rsidRPr="00FD4F65" w:rsidRDefault="004A61E2" w:rsidP="00DA412B">
      <w:pPr>
        <w:pStyle w:val="ListParagraph"/>
        <w:numPr>
          <w:ilvl w:val="0"/>
          <w:numId w:val="55"/>
        </w:numPr>
        <w:spacing w:line="252" w:lineRule="auto"/>
      </w:pPr>
      <w:r w:rsidRPr="00FD4F65">
        <w:t>Are there other agreements or arrangements in place that require the need to have such moneys separated in the Public Account?</w:t>
      </w:r>
    </w:p>
    <w:p w14:paraId="6F41AB0E" w14:textId="4B1EA7A5" w:rsidR="00A64DD5" w:rsidRDefault="00A64DD5" w:rsidP="00DA412B">
      <w:pPr>
        <w:pStyle w:val="ListParagraph"/>
        <w:numPr>
          <w:ilvl w:val="0"/>
          <w:numId w:val="55"/>
        </w:numPr>
        <w:spacing w:line="252" w:lineRule="auto"/>
      </w:pPr>
      <w:r w:rsidRPr="00FD4F65">
        <w:t xml:space="preserve">Are existing financial management systems unable to be used to separate the third party transactions from core Departmental business to negate the requirement for a separate </w:t>
      </w:r>
      <w:r w:rsidR="00440165">
        <w:t>t</w:t>
      </w:r>
      <w:r w:rsidRPr="00FD4F65">
        <w:t>rust</w:t>
      </w:r>
      <w:r w:rsidR="00440165">
        <w:t xml:space="preserve"> account</w:t>
      </w:r>
      <w:r w:rsidRPr="00FD4F65">
        <w:t>?</w:t>
      </w:r>
    </w:p>
    <w:p w14:paraId="454C3178" w14:textId="77777777" w:rsidR="00FD4F65" w:rsidRPr="00FD4F65" w:rsidRDefault="00A64DD5" w:rsidP="00FD4F65">
      <w:pPr>
        <w:pStyle w:val="NormalIndent"/>
        <w:rPr>
          <w:lang w:eastAsia="en-US"/>
        </w:rPr>
      </w:pPr>
      <w:r w:rsidRPr="00FD4F65">
        <w:rPr>
          <w:lang w:eastAsia="en-US"/>
        </w:rPr>
        <w:t>Departments should also consult with DTF at the earliest opportunity to determine the appropriateness of any proposed trust account arrangement.</w:t>
      </w:r>
    </w:p>
    <w:p w14:paraId="1712AC53" w14:textId="3F6162F4" w:rsidR="00AE2404" w:rsidRDefault="00AE2404" w:rsidP="00F324FC">
      <w:pPr>
        <w:pStyle w:val="Heading4indent"/>
      </w:pPr>
      <w:r>
        <w:t xml:space="preserve">Investment of money in </w:t>
      </w:r>
      <w:r w:rsidR="00440165">
        <w:t>t</w:t>
      </w:r>
      <w:r>
        <w:t xml:space="preserve">rust </w:t>
      </w:r>
      <w:r w:rsidR="00440165">
        <w:t>a</w:t>
      </w:r>
      <w:r>
        <w:t>ccounts</w:t>
      </w:r>
    </w:p>
    <w:p w14:paraId="4269BCED" w14:textId="157F9850" w:rsidR="00AE2404" w:rsidRDefault="00AE2404" w:rsidP="00AE2404">
      <w:pPr>
        <w:pStyle w:val="NormalIndent"/>
        <w:rPr>
          <w:lang w:eastAsia="en-US"/>
        </w:rPr>
      </w:pPr>
      <w:r>
        <w:rPr>
          <w:lang w:eastAsia="en-US"/>
        </w:rPr>
        <w:t>Section 21 of the FMA provides that the Minister</w:t>
      </w:r>
      <w:r w:rsidR="00595779">
        <w:rPr>
          <w:lang w:eastAsia="en-US"/>
        </w:rPr>
        <w:t xml:space="preserve"> for Finance</w:t>
      </w:r>
      <w:r>
        <w:rPr>
          <w:lang w:eastAsia="en-US"/>
        </w:rPr>
        <w:t xml:space="preserve"> may invest money standing to the credit of a </w:t>
      </w:r>
      <w:r w:rsidR="00440165">
        <w:rPr>
          <w:lang w:eastAsia="en-US"/>
        </w:rPr>
        <w:t>t</w:t>
      </w:r>
      <w:r>
        <w:rPr>
          <w:lang w:eastAsia="en-US"/>
        </w:rPr>
        <w:t xml:space="preserve">rust </w:t>
      </w:r>
      <w:r w:rsidR="00440165">
        <w:rPr>
          <w:lang w:eastAsia="en-US"/>
        </w:rPr>
        <w:t>a</w:t>
      </w:r>
      <w:r>
        <w:rPr>
          <w:lang w:eastAsia="en-US"/>
        </w:rPr>
        <w:t xml:space="preserve">ccount. The making of such investments is dependent upon whether a business case exists for interest on credit balances to be retained in the Trust Fund. </w:t>
      </w:r>
      <w:r w:rsidR="007E4EBA">
        <w:rPr>
          <w:lang w:eastAsia="en-US"/>
        </w:rPr>
        <w:t>However, the Minister’s discretion does not apply w</w:t>
      </w:r>
      <w:r>
        <w:rPr>
          <w:lang w:eastAsia="en-US"/>
        </w:rPr>
        <w:t xml:space="preserve">here the crediting of interest is provided for </w:t>
      </w:r>
      <w:r w:rsidR="007E4EBA">
        <w:rPr>
          <w:lang w:eastAsia="en-US"/>
        </w:rPr>
        <w:t>in specific legislation</w:t>
      </w:r>
      <w:r>
        <w:rPr>
          <w:lang w:eastAsia="en-US"/>
        </w:rPr>
        <w:t>.</w:t>
      </w:r>
      <w:r w:rsidRPr="00A74690">
        <w:rPr>
          <w:lang w:eastAsia="en-US"/>
        </w:rPr>
        <w:t xml:space="preserve"> </w:t>
      </w:r>
    </w:p>
    <w:p w14:paraId="6D81A297" w14:textId="18C551A3" w:rsidR="00AE2404" w:rsidRDefault="00AE2404" w:rsidP="00F324FC">
      <w:pPr>
        <w:pStyle w:val="Heading4indent"/>
      </w:pPr>
      <w:r>
        <w:t xml:space="preserve">Management of moneys in </w:t>
      </w:r>
      <w:r w:rsidR="00440165">
        <w:t>t</w:t>
      </w:r>
      <w:r>
        <w:t xml:space="preserve">rust </w:t>
      </w:r>
      <w:r w:rsidR="00440165">
        <w:t>a</w:t>
      </w:r>
      <w:r>
        <w:t>ccounts</w:t>
      </w:r>
    </w:p>
    <w:p w14:paraId="0AC883C1" w14:textId="471C97B7" w:rsidR="003A3F74" w:rsidRDefault="003A3F74" w:rsidP="003A3F74">
      <w:pPr>
        <w:pStyle w:val="NormalIndent"/>
        <w:rPr>
          <w:lang w:eastAsia="en-US"/>
        </w:rPr>
      </w:pPr>
      <w:r>
        <w:rPr>
          <w:lang w:eastAsia="en-US"/>
        </w:rPr>
        <w:t xml:space="preserve">Trust accounts must not be overdrawn at any time. Commitments to expenditure may only be made from a trust account where there is sufficient cash available in the trust account to cover the expected payments. </w:t>
      </w:r>
    </w:p>
    <w:p w14:paraId="309A15F8" w14:textId="77777777" w:rsidR="00B47296" w:rsidRDefault="00B47296">
      <w:pPr>
        <w:spacing w:before="0" w:after="200"/>
        <w:rPr>
          <w:lang w:eastAsia="en-US"/>
        </w:rPr>
      </w:pPr>
      <w:r>
        <w:rPr>
          <w:lang w:eastAsia="en-US"/>
        </w:rPr>
        <w:br w:type="page"/>
      </w:r>
    </w:p>
    <w:p w14:paraId="42699593" w14:textId="7D0E81E4" w:rsidR="003A3F74" w:rsidRDefault="003A3F74" w:rsidP="003A3F74">
      <w:pPr>
        <w:pStyle w:val="NormalIndent"/>
        <w:rPr>
          <w:lang w:eastAsia="en-US"/>
        </w:rPr>
      </w:pPr>
      <w:r>
        <w:rPr>
          <w:lang w:eastAsia="en-US"/>
        </w:rPr>
        <w:lastRenderedPageBreak/>
        <w:t>If a payment is required to be made which would result in a trust account becoming overdrawn, an advance or other legally available source of funds should be sought as soon as practicable prior to the payment being made so that an overdrawn situation does not result. If there are financial investments in the trust fund, these are only considered to be available to pay expenditure if fully liquid (e</w:t>
      </w:r>
      <w:r w:rsidR="00744342">
        <w:rPr>
          <w:lang w:eastAsia="en-US"/>
        </w:rPr>
        <w:t>.</w:t>
      </w:r>
      <w:r>
        <w:rPr>
          <w:lang w:eastAsia="en-US"/>
        </w:rPr>
        <w:t>g. at-call investments). Note that it is not appropriate to incur an interest expense on funds obtained to cover any shortfalls in a trust account without the Treasurer's agreement.</w:t>
      </w:r>
    </w:p>
    <w:p w14:paraId="5412596A" w14:textId="06B0C88C" w:rsidR="00AE2404" w:rsidRDefault="00AE2404" w:rsidP="00F324FC">
      <w:pPr>
        <w:pStyle w:val="Heading4indent"/>
      </w:pPr>
      <w:r>
        <w:t xml:space="preserve">Accounting for </w:t>
      </w:r>
      <w:r w:rsidR="00440165">
        <w:t>t</w:t>
      </w:r>
      <w:r>
        <w:t xml:space="preserve">rust </w:t>
      </w:r>
      <w:r w:rsidR="00440165">
        <w:t>a</w:t>
      </w:r>
      <w:r>
        <w:t>ccounts</w:t>
      </w:r>
    </w:p>
    <w:p w14:paraId="312CEB5D" w14:textId="2BF89468" w:rsidR="00AE2404" w:rsidRDefault="00AE2404" w:rsidP="00744342">
      <w:pPr>
        <w:pStyle w:val="NormalIndent"/>
      </w:pPr>
      <w:r w:rsidRPr="00024438">
        <w:rPr>
          <w:lang w:eastAsia="en-US"/>
        </w:rPr>
        <w:t xml:space="preserve">Each specific </w:t>
      </w:r>
      <w:r w:rsidR="00440165">
        <w:rPr>
          <w:lang w:eastAsia="en-US"/>
        </w:rPr>
        <w:t>t</w:t>
      </w:r>
      <w:r w:rsidRPr="00024438">
        <w:rPr>
          <w:lang w:eastAsia="en-US"/>
        </w:rPr>
        <w:t xml:space="preserve">rust </w:t>
      </w:r>
      <w:r w:rsidR="00440165">
        <w:rPr>
          <w:lang w:eastAsia="en-US"/>
        </w:rPr>
        <w:t>a</w:t>
      </w:r>
      <w:r w:rsidRPr="00024438">
        <w:rPr>
          <w:lang w:eastAsia="en-US"/>
        </w:rPr>
        <w:t xml:space="preserve">ccount is identified by a unique trust authority (i.e. the third segment of the </w:t>
      </w:r>
      <w:r>
        <w:rPr>
          <w:lang w:eastAsia="en-US"/>
        </w:rPr>
        <w:t xml:space="preserve">Whole of Government </w:t>
      </w:r>
      <w:r w:rsidRPr="00024438">
        <w:rPr>
          <w:lang w:eastAsia="en-US"/>
        </w:rPr>
        <w:t xml:space="preserve">chart of accounts) and contains ledger accounts which can potentially record revenue, expenses, investments, assets and liabilities (i.e. the full range of natural accounts) for certain </w:t>
      </w:r>
      <w:r>
        <w:rPr>
          <w:lang w:eastAsia="en-US"/>
        </w:rPr>
        <w:t>D</w:t>
      </w:r>
      <w:r w:rsidRPr="00024438">
        <w:rPr>
          <w:lang w:eastAsia="en-US"/>
        </w:rPr>
        <w:t>epartmental activities.</w:t>
      </w:r>
    </w:p>
    <w:p w14:paraId="234E118C" w14:textId="5F0D0D81" w:rsidR="00AE2404" w:rsidRDefault="00AE2404" w:rsidP="00F324FC">
      <w:pPr>
        <w:pStyle w:val="Heading4indent"/>
      </w:pPr>
      <w:r>
        <w:t xml:space="preserve">Renaming of </w:t>
      </w:r>
      <w:r w:rsidR="00440165">
        <w:t>t</w:t>
      </w:r>
      <w:r>
        <w:t xml:space="preserve">rust </w:t>
      </w:r>
      <w:r w:rsidR="00440165">
        <w:t>a</w:t>
      </w:r>
      <w:r>
        <w:t xml:space="preserve">ccounts / Change in </w:t>
      </w:r>
      <w:r w:rsidR="00440165">
        <w:t>p</w:t>
      </w:r>
      <w:r>
        <w:t xml:space="preserve">urpose of </w:t>
      </w:r>
      <w:r w:rsidR="00440165">
        <w:t>t</w:t>
      </w:r>
      <w:r>
        <w:t xml:space="preserve">rust </w:t>
      </w:r>
      <w:r w:rsidR="00440165">
        <w:t>a</w:t>
      </w:r>
      <w:r>
        <w:t>ccounts</w:t>
      </w:r>
    </w:p>
    <w:p w14:paraId="0503FBA2" w14:textId="6296EF4F" w:rsidR="00AE2404" w:rsidRDefault="00AE2404" w:rsidP="00AE2404">
      <w:pPr>
        <w:pStyle w:val="NormalIndent"/>
        <w:rPr>
          <w:lang w:eastAsia="en-US"/>
        </w:rPr>
      </w:pPr>
      <w:r>
        <w:rPr>
          <w:lang w:eastAsia="en-US"/>
        </w:rPr>
        <w:t>Trust accounts may be renamed to better reflect their purpose. The approval of the Minister for Finance is not required for this to occur</w:t>
      </w:r>
      <w:r w:rsidR="00485A95">
        <w:rPr>
          <w:lang w:eastAsia="en-US"/>
        </w:rPr>
        <w:t>,</w:t>
      </w:r>
      <w:r w:rsidR="00270B6A">
        <w:rPr>
          <w:lang w:eastAsia="en-US"/>
        </w:rPr>
        <w:t xml:space="preserve"> although DTF should be notified of the details of the intended change</w:t>
      </w:r>
      <w:r>
        <w:rPr>
          <w:lang w:eastAsia="en-US"/>
        </w:rPr>
        <w:t xml:space="preserve">. </w:t>
      </w:r>
      <w:r w:rsidR="007E4EBA">
        <w:rPr>
          <w:lang w:eastAsia="en-US"/>
        </w:rPr>
        <w:t>However, m</w:t>
      </w:r>
      <w:r>
        <w:rPr>
          <w:lang w:eastAsia="en-US"/>
        </w:rPr>
        <w:t>inisterial approval is required should the purpose of a Trust Fund change, unless that changed purpose has been legislated.</w:t>
      </w:r>
    </w:p>
    <w:p w14:paraId="04D92C2E" w14:textId="33B593DD" w:rsidR="00AE2404" w:rsidRDefault="00AE2404" w:rsidP="00F324FC">
      <w:pPr>
        <w:pStyle w:val="Heading4indent"/>
      </w:pPr>
      <w:r>
        <w:t xml:space="preserve">Process for the closure of a </w:t>
      </w:r>
      <w:r w:rsidR="00440165">
        <w:t>t</w:t>
      </w:r>
      <w:r>
        <w:t xml:space="preserve">rust </w:t>
      </w:r>
      <w:r w:rsidR="00440165">
        <w:t>a</w:t>
      </w:r>
      <w:r>
        <w:t>ccount</w:t>
      </w:r>
    </w:p>
    <w:p w14:paraId="1A808847" w14:textId="66E5489A" w:rsidR="00AE2404" w:rsidRDefault="00AE2404" w:rsidP="00AE2404">
      <w:pPr>
        <w:pStyle w:val="NormalIndent"/>
        <w:rPr>
          <w:lang w:eastAsia="en-US"/>
        </w:rPr>
      </w:pPr>
      <w:r>
        <w:rPr>
          <w:lang w:eastAsia="en-US"/>
        </w:rPr>
        <w:t xml:space="preserve">The FMA allows the Minister for Finance to make a direction to close a </w:t>
      </w:r>
      <w:r w:rsidR="00440165">
        <w:rPr>
          <w:lang w:eastAsia="en-US"/>
        </w:rPr>
        <w:t>t</w:t>
      </w:r>
      <w:r>
        <w:rPr>
          <w:lang w:eastAsia="en-US"/>
        </w:rPr>
        <w:t xml:space="preserve">rust </w:t>
      </w:r>
      <w:r w:rsidR="00440165">
        <w:rPr>
          <w:lang w:eastAsia="en-US"/>
        </w:rPr>
        <w:t>a</w:t>
      </w:r>
      <w:r>
        <w:rPr>
          <w:lang w:eastAsia="en-US"/>
        </w:rPr>
        <w:t>ccount where appropriate.</w:t>
      </w:r>
      <w:r w:rsidR="009378B0">
        <w:rPr>
          <w:lang w:eastAsia="en-US"/>
        </w:rPr>
        <w:t xml:space="preserve"> However, a trust account established by statute</w:t>
      </w:r>
      <w:r w:rsidR="00DC368F">
        <w:rPr>
          <w:lang w:eastAsia="en-US"/>
        </w:rPr>
        <w:t xml:space="preserve"> </w:t>
      </w:r>
      <w:r w:rsidR="00CC37A7">
        <w:rPr>
          <w:lang w:eastAsia="en-US"/>
        </w:rPr>
        <w:t>may</w:t>
      </w:r>
      <w:r w:rsidR="009378B0">
        <w:rPr>
          <w:lang w:eastAsia="en-US"/>
        </w:rPr>
        <w:t xml:space="preserve"> be closed by further legislation, or by the means, if any, specified in the statute.</w:t>
      </w:r>
    </w:p>
    <w:p w14:paraId="4FF8BBAC" w14:textId="016C180F" w:rsidR="00AE2404" w:rsidRDefault="00AE2404" w:rsidP="00F324FC">
      <w:pPr>
        <w:pStyle w:val="Heading4indent"/>
      </w:pPr>
      <w:r>
        <w:t xml:space="preserve">Reporting on </w:t>
      </w:r>
      <w:r w:rsidR="002B44D8">
        <w:t>t</w:t>
      </w:r>
      <w:r>
        <w:t xml:space="preserve">rust </w:t>
      </w:r>
      <w:r w:rsidR="002B44D8">
        <w:t>a</w:t>
      </w:r>
      <w:r>
        <w:t>ccounts</w:t>
      </w:r>
    </w:p>
    <w:p w14:paraId="144491F3" w14:textId="7B3536DD" w:rsidR="00AE2404" w:rsidRDefault="00AE2404" w:rsidP="00AE2404">
      <w:pPr>
        <w:pStyle w:val="NormalIndent"/>
        <w:rPr>
          <w:lang w:eastAsia="en-US"/>
        </w:rPr>
      </w:pPr>
      <w:r>
        <w:rPr>
          <w:lang w:eastAsia="en-US"/>
        </w:rPr>
        <w:t xml:space="preserve">For reporting purposes </w:t>
      </w:r>
      <w:r w:rsidR="002B44D8">
        <w:rPr>
          <w:lang w:eastAsia="en-US"/>
        </w:rPr>
        <w:t>t</w:t>
      </w:r>
      <w:r>
        <w:rPr>
          <w:lang w:eastAsia="en-US"/>
        </w:rPr>
        <w:t xml:space="preserve">rust </w:t>
      </w:r>
      <w:r w:rsidR="002B44D8">
        <w:rPr>
          <w:lang w:eastAsia="en-US"/>
        </w:rPr>
        <w:t>account</w:t>
      </w:r>
      <w:r>
        <w:rPr>
          <w:lang w:eastAsia="en-US"/>
        </w:rPr>
        <w:t xml:space="preserve">s fall into two categories: </w:t>
      </w:r>
    </w:p>
    <w:p w14:paraId="259FD04D" w14:textId="051F33D6" w:rsidR="00AE2404" w:rsidRDefault="00AE2404" w:rsidP="00B46F3E">
      <w:pPr>
        <w:pStyle w:val="Bulletindent"/>
        <w:rPr>
          <w:lang w:eastAsia="en-US"/>
        </w:rPr>
      </w:pPr>
      <w:r w:rsidRPr="00591A0D">
        <w:rPr>
          <w:b/>
          <w:lang w:eastAsia="en-US"/>
        </w:rPr>
        <w:t xml:space="preserve">Controlled trust </w:t>
      </w:r>
      <w:r w:rsidR="002B44D8">
        <w:rPr>
          <w:b/>
          <w:lang w:eastAsia="en-US"/>
        </w:rPr>
        <w:t>accounts</w:t>
      </w:r>
      <w:r>
        <w:rPr>
          <w:lang w:eastAsia="en-US"/>
        </w:rPr>
        <w:t xml:space="preserve">: </w:t>
      </w:r>
      <w:r w:rsidR="00591A0D">
        <w:rPr>
          <w:lang w:eastAsia="en-US"/>
        </w:rPr>
        <w:t>where the responsible D</w:t>
      </w:r>
      <w:r>
        <w:rPr>
          <w:lang w:eastAsia="en-US"/>
        </w:rPr>
        <w:t>epartment can make decisions about how the funds are used</w:t>
      </w:r>
      <w:r w:rsidR="00CC37A7">
        <w:rPr>
          <w:lang w:eastAsia="en-US"/>
        </w:rPr>
        <w:t>; and</w:t>
      </w:r>
      <w:r>
        <w:rPr>
          <w:lang w:eastAsia="en-US"/>
        </w:rPr>
        <w:t xml:space="preserve"> </w:t>
      </w:r>
    </w:p>
    <w:p w14:paraId="7F06D636" w14:textId="3A84DD39" w:rsidR="00AE2404" w:rsidRDefault="00AE2404" w:rsidP="00B46F3E">
      <w:pPr>
        <w:pStyle w:val="Bulletindent"/>
        <w:rPr>
          <w:lang w:eastAsia="en-US"/>
        </w:rPr>
      </w:pPr>
      <w:r w:rsidRPr="00591A0D">
        <w:rPr>
          <w:b/>
          <w:lang w:eastAsia="en-US"/>
        </w:rPr>
        <w:t xml:space="preserve">Administered trust </w:t>
      </w:r>
      <w:r w:rsidR="002B44D8">
        <w:rPr>
          <w:b/>
          <w:lang w:eastAsia="en-US"/>
        </w:rPr>
        <w:t>accounts</w:t>
      </w:r>
      <w:r>
        <w:rPr>
          <w:lang w:eastAsia="en-US"/>
        </w:rPr>
        <w:t xml:space="preserve">: for which decisions about how the funds </w:t>
      </w:r>
      <w:r w:rsidR="002B44D8">
        <w:rPr>
          <w:lang w:eastAsia="en-US"/>
        </w:rPr>
        <w:t xml:space="preserve">in the accounts </w:t>
      </w:r>
      <w:r>
        <w:rPr>
          <w:lang w:eastAsia="en-US"/>
        </w:rPr>
        <w:t xml:space="preserve">are used are made outside the </w:t>
      </w:r>
      <w:r w:rsidR="00591A0D">
        <w:rPr>
          <w:lang w:eastAsia="en-US"/>
        </w:rPr>
        <w:t>Department. The D</w:t>
      </w:r>
      <w:r>
        <w:rPr>
          <w:lang w:eastAsia="en-US"/>
        </w:rPr>
        <w:t xml:space="preserve">epartment’s responsibility for these trust </w:t>
      </w:r>
      <w:r w:rsidR="002B44D8">
        <w:rPr>
          <w:lang w:eastAsia="en-US"/>
        </w:rPr>
        <w:t>accounts</w:t>
      </w:r>
      <w:r>
        <w:rPr>
          <w:lang w:eastAsia="en-US"/>
        </w:rPr>
        <w:t xml:space="preserve"> is limited to processing the trust</w:t>
      </w:r>
      <w:r w:rsidR="002B44D8">
        <w:rPr>
          <w:lang w:eastAsia="en-US"/>
        </w:rPr>
        <w:t xml:space="preserve"> account</w:t>
      </w:r>
      <w:r>
        <w:rPr>
          <w:lang w:eastAsia="en-US"/>
        </w:rPr>
        <w:t>’s receipts and payments.</w:t>
      </w:r>
    </w:p>
    <w:p w14:paraId="5EFA0A5C" w14:textId="0A9E6C85" w:rsidR="00EE5E09" w:rsidRDefault="00EE5E09" w:rsidP="00AE2404">
      <w:pPr>
        <w:pStyle w:val="NormalIndent"/>
        <w:rPr>
          <w:lang w:eastAsia="en-US"/>
        </w:rPr>
      </w:pPr>
      <w:r>
        <w:rPr>
          <w:lang w:eastAsia="en-US"/>
        </w:rPr>
        <w:t xml:space="preserve">The assessment of whether a trust account is deemed to be controlled or administered is entirely the responsibility of the Department concerned. </w:t>
      </w:r>
      <w:r w:rsidR="00D01BD2">
        <w:rPr>
          <w:lang w:eastAsia="en-US"/>
        </w:rPr>
        <w:t>As such decisions</w:t>
      </w:r>
      <w:r w:rsidR="00830C51">
        <w:rPr>
          <w:lang w:eastAsia="en-US"/>
        </w:rPr>
        <w:t xml:space="preserve"> will be subject to audit review, they should consult with their relevant director </w:t>
      </w:r>
      <w:r w:rsidR="00997D1E">
        <w:rPr>
          <w:lang w:eastAsia="en-US"/>
        </w:rPr>
        <w:t xml:space="preserve">at the Victorian Auditor General’s Office </w:t>
      </w:r>
      <w:r w:rsidR="00493D4B">
        <w:rPr>
          <w:lang w:eastAsia="en-US"/>
        </w:rPr>
        <w:t>in the determination of the appropriate classification</w:t>
      </w:r>
      <w:r>
        <w:rPr>
          <w:lang w:eastAsia="en-US"/>
        </w:rPr>
        <w:t>.</w:t>
      </w:r>
    </w:p>
    <w:p w14:paraId="3521F003" w14:textId="77777777" w:rsidR="00CC37A7" w:rsidRDefault="00AE2404" w:rsidP="00AE2404">
      <w:pPr>
        <w:pStyle w:val="NormalIndent"/>
        <w:rPr>
          <w:lang w:eastAsia="en-US"/>
        </w:rPr>
      </w:pPr>
      <w:r>
        <w:rPr>
          <w:lang w:eastAsia="en-US"/>
        </w:rPr>
        <w:t xml:space="preserve">The financial transactions and balances of accounts </w:t>
      </w:r>
      <w:r w:rsidR="00303AFD">
        <w:rPr>
          <w:lang w:eastAsia="en-US"/>
        </w:rPr>
        <w:t xml:space="preserve">in the Trust Fund </w:t>
      </w:r>
      <w:r>
        <w:rPr>
          <w:lang w:eastAsia="en-US"/>
        </w:rPr>
        <w:t xml:space="preserve">are reported in the financial reports of the administering departments. </w:t>
      </w:r>
    </w:p>
    <w:p w14:paraId="05D52874" w14:textId="19143DD6" w:rsidR="00AE2404" w:rsidRDefault="00AE2404" w:rsidP="00CC37A7">
      <w:pPr>
        <w:pStyle w:val="NormalIndent"/>
        <w:rPr>
          <w:lang w:eastAsia="en-US"/>
        </w:rPr>
      </w:pPr>
      <w:r>
        <w:rPr>
          <w:lang w:eastAsia="en-US"/>
        </w:rPr>
        <w:t xml:space="preserve">A high level summary of these transactions and balances is also included in the </w:t>
      </w:r>
      <w:r w:rsidR="00EE5E09">
        <w:rPr>
          <w:lang w:eastAsia="en-US"/>
        </w:rPr>
        <w:t xml:space="preserve">State’s </w:t>
      </w:r>
      <w:r>
        <w:rPr>
          <w:lang w:eastAsia="en-US"/>
        </w:rPr>
        <w:t>Annual Financial Report.</w:t>
      </w:r>
      <w:r w:rsidR="00CC37A7">
        <w:rPr>
          <w:lang w:eastAsia="en-US"/>
        </w:rPr>
        <w:t xml:space="preserve"> </w:t>
      </w:r>
      <w:r w:rsidR="00591A0D">
        <w:rPr>
          <w:lang w:eastAsia="en-US"/>
        </w:rPr>
        <w:t>D</w:t>
      </w:r>
      <w:r>
        <w:rPr>
          <w:lang w:eastAsia="en-US"/>
        </w:rPr>
        <w:t xml:space="preserve">epartments are required to report on both categories of trust </w:t>
      </w:r>
      <w:r w:rsidR="00303AFD">
        <w:rPr>
          <w:lang w:eastAsia="en-US"/>
        </w:rPr>
        <w:t>accounts</w:t>
      </w:r>
      <w:r>
        <w:rPr>
          <w:lang w:eastAsia="en-US"/>
        </w:rPr>
        <w:t xml:space="preserve"> in their audited financial statements. </w:t>
      </w:r>
    </w:p>
    <w:p w14:paraId="7BD692B0" w14:textId="77777777" w:rsidR="00B47296" w:rsidRDefault="00B47296">
      <w:pPr>
        <w:spacing w:before="0" w:after="200"/>
        <w:rPr>
          <w:rFonts w:asciiTheme="majorHAnsi" w:eastAsiaTheme="majorEastAsia" w:hAnsiTheme="majorHAnsi" w:cstheme="majorBidi"/>
          <w:b/>
          <w:bCs/>
          <w:color w:val="0063A6" w:themeColor="accent1"/>
          <w:sz w:val="22"/>
          <w:szCs w:val="22"/>
          <w:lang w:eastAsia="en-US"/>
        </w:rPr>
      </w:pPr>
      <w:r>
        <w:rPr>
          <w:lang w:eastAsia="en-US"/>
        </w:rPr>
        <w:br w:type="page"/>
      </w:r>
    </w:p>
    <w:p w14:paraId="5D7D9E70" w14:textId="2249949A" w:rsidR="00F324FC" w:rsidRDefault="00F324FC" w:rsidP="000B672C">
      <w:pPr>
        <w:pStyle w:val="Heading3indent"/>
        <w:rPr>
          <w:lang w:eastAsia="en-US"/>
        </w:rPr>
      </w:pPr>
      <w:r>
        <w:rPr>
          <w:lang w:eastAsia="en-US"/>
        </w:rPr>
        <w:lastRenderedPageBreak/>
        <w:t>Specific trust accounts – further details</w:t>
      </w:r>
    </w:p>
    <w:p w14:paraId="373426A6" w14:textId="3CE0D64D" w:rsidR="00F324FC" w:rsidRPr="00107A37" w:rsidRDefault="00F324FC" w:rsidP="00B47296">
      <w:pPr>
        <w:pStyle w:val="Heading4indent"/>
        <w:rPr>
          <w:lang w:eastAsia="en-US"/>
        </w:rPr>
      </w:pPr>
      <w:r w:rsidRPr="00107A37">
        <w:rPr>
          <w:lang w:eastAsia="en-US"/>
        </w:rPr>
        <w:t xml:space="preserve">Departmental </w:t>
      </w:r>
      <w:r w:rsidR="00303AFD">
        <w:rPr>
          <w:lang w:eastAsia="en-US"/>
        </w:rPr>
        <w:t>w</w:t>
      </w:r>
      <w:r w:rsidRPr="00107A37">
        <w:rPr>
          <w:lang w:eastAsia="en-US"/>
        </w:rPr>
        <w:t xml:space="preserve">orking </w:t>
      </w:r>
      <w:r w:rsidR="00303AFD">
        <w:rPr>
          <w:lang w:eastAsia="en-US"/>
        </w:rPr>
        <w:t>a</w:t>
      </w:r>
      <w:r w:rsidRPr="00107A37">
        <w:rPr>
          <w:lang w:eastAsia="en-US"/>
        </w:rPr>
        <w:t>ccounts</w:t>
      </w:r>
    </w:p>
    <w:p w14:paraId="66BB80B9" w14:textId="2C7B8455" w:rsidR="00F324FC" w:rsidRDefault="00F324FC" w:rsidP="00F324FC">
      <w:pPr>
        <w:pStyle w:val="NormalIndent"/>
        <w:rPr>
          <w:lang w:eastAsia="en-US"/>
        </w:rPr>
      </w:pPr>
      <w:r>
        <w:rPr>
          <w:lang w:eastAsia="en-US"/>
        </w:rPr>
        <w:t xml:space="preserve">Departmental </w:t>
      </w:r>
      <w:r w:rsidR="00303AFD">
        <w:rPr>
          <w:lang w:eastAsia="en-US"/>
        </w:rPr>
        <w:t>w</w:t>
      </w:r>
      <w:r>
        <w:rPr>
          <w:lang w:eastAsia="en-US"/>
        </w:rPr>
        <w:t xml:space="preserve">orking </w:t>
      </w:r>
      <w:r w:rsidR="00303AFD">
        <w:rPr>
          <w:lang w:eastAsia="en-US"/>
        </w:rPr>
        <w:t>a</w:t>
      </w:r>
      <w:r>
        <w:rPr>
          <w:lang w:eastAsia="en-US"/>
        </w:rPr>
        <w:t xml:space="preserve">ccounts in the Trust Fund provide a means of giving Departments direct access to user charge receipts for those activities conducted on a commercial basis separately from core Departmental activities. The legislation governing the establishment and operation of Departmental </w:t>
      </w:r>
      <w:r w:rsidR="00303AFD">
        <w:rPr>
          <w:lang w:eastAsia="en-US"/>
        </w:rPr>
        <w:t>w</w:t>
      </w:r>
      <w:r>
        <w:rPr>
          <w:lang w:eastAsia="en-US"/>
        </w:rPr>
        <w:t xml:space="preserve">orking </w:t>
      </w:r>
      <w:r w:rsidR="00303AFD">
        <w:rPr>
          <w:lang w:eastAsia="en-US"/>
        </w:rPr>
        <w:t>a</w:t>
      </w:r>
      <w:r>
        <w:rPr>
          <w:lang w:eastAsia="en-US"/>
        </w:rPr>
        <w:t xml:space="preserve">ccounts is set out in </w:t>
      </w:r>
      <w:r w:rsidR="00303AFD">
        <w:rPr>
          <w:lang w:eastAsia="en-US"/>
        </w:rPr>
        <w:t>s</w:t>
      </w:r>
      <w:r>
        <w:rPr>
          <w:lang w:eastAsia="en-US"/>
        </w:rPr>
        <w:t>ection 23 of the FMA.</w:t>
      </w:r>
    </w:p>
    <w:p w14:paraId="424631EB" w14:textId="58043394" w:rsidR="00F324FC" w:rsidRDefault="00F324FC" w:rsidP="00F324FC">
      <w:pPr>
        <w:pStyle w:val="NormalIndent"/>
        <w:rPr>
          <w:lang w:eastAsia="en-US"/>
        </w:rPr>
      </w:pPr>
      <w:r>
        <w:rPr>
          <w:lang w:eastAsia="en-US"/>
        </w:rPr>
        <w:t xml:space="preserve">The main requirements for a Departmental </w:t>
      </w:r>
      <w:r w:rsidR="00303AFD">
        <w:rPr>
          <w:lang w:eastAsia="en-US"/>
        </w:rPr>
        <w:t>w</w:t>
      </w:r>
      <w:r>
        <w:rPr>
          <w:lang w:eastAsia="en-US"/>
        </w:rPr>
        <w:t xml:space="preserve">orking </w:t>
      </w:r>
      <w:r w:rsidR="00303AFD">
        <w:rPr>
          <w:lang w:eastAsia="en-US"/>
        </w:rPr>
        <w:t>a</w:t>
      </w:r>
      <w:r>
        <w:rPr>
          <w:lang w:eastAsia="en-US"/>
        </w:rPr>
        <w:t>ccount are that:</w:t>
      </w:r>
    </w:p>
    <w:p w14:paraId="19F5CFC0" w14:textId="6AEC0CB6" w:rsidR="00F324FC" w:rsidRDefault="00F324FC" w:rsidP="00F324FC">
      <w:pPr>
        <w:pStyle w:val="Bulletindent"/>
        <w:rPr>
          <w:lang w:eastAsia="en-US"/>
        </w:rPr>
      </w:pPr>
      <w:r>
        <w:rPr>
          <w:lang w:eastAsia="en-US"/>
        </w:rPr>
        <w:t xml:space="preserve">the activity is </w:t>
      </w:r>
      <w:r w:rsidR="00997D1E">
        <w:rPr>
          <w:lang w:eastAsia="en-US"/>
        </w:rPr>
        <w:t xml:space="preserve">undertaken by </w:t>
      </w:r>
      <w:r>
        <w:rPr>
          <w:lang w:eastAsia="en-US"/>
        </w:rPr>
        <w:t>a discrete business unit</w:t>
      </w:r>
      <w:r w:rsidR="00744342">
        <w:rPr>
          <w:lang w:eastAsia="en-US"/>
        </w:rPr>
        <w:t>,</w:t>
      </w:r>
      <w:r>
        <w:rPr>
          <w:lang w:eastAsia="en-US"/>
        </w:rPr>
        <w:t xml:space="preserve"> operating to a business plan and producing its own set of accounts;</w:t>
      </w:r>
    </w:p>
    <w:p w14:paraId="062FC841" w14:textId="77777777" w:rsidR="00F324FC" w:rsidRDefault="00F324FC" w:rsidP="00F324FC">
      <w:pPr>
        <w:pStyle w:val="Bulletindent"/>
        <w:rPr>
          <w:lang w:eastAsia="en-US"/>
        </w:rPr>
      </w:pPr>
      <w:r w:rsidRPr="001D03AB">
        <w:rPr>
          <w:lang w:eastAsia="en-US"/>
        </w:rPr>
        <w:t xml:space="preserve">the charges applying to the activity comply with the </w:t>
      </w:r>
      <w:r w:rsidRPr="00591A0D">
        <w:rPr>
          <w:i/>
          <w:lang w:eastAsia="en-US"/>
        </w:rPr>
        <w:t>Competitive Neutral Pricing Policy</w:t>
      </w:r>
      <w:r w:rsidRPr="001D03AB">
        <w:rPr>
          <w:lang w:eastAsia="en-US"/>
        </w:rPr>
        <w:t>;</w:t>
      </w:r>
      <w:r>
        <w:rPr>
          <w:lang w:eastAsia="en-US"/>
        </w:rPr>
        <w:t xml:space="preserve"> and</w:t>
      </w:r>
    </w:p>
    <w:p w14:paraId="72220E5F" w14:textId="722ACBB2" w:rsidR="00F324FC" w:rsidRDefault="00F324FC" w:rsidP="00F324FC">
      <w:pPr>
        <w:pStyle w:val="Bulletindent"/>
        <w:rPr>
          <w:lang w:eastAsia="en-US"/>
        </w:rPr>
      </w:pPr>
      <w:r>
        <w:rPr>
          <w:lang w:eastAsia="en-US"/>
        </w:rPr>
        <w:t xml:space="preserve">provision is made for a dividend on any profit component, to be repaid to the Consolidated Fund. </w:t>
      </w:r>
    </w:p>
    <w:p w14:paraId="1F8E4B86" w14:textId="77777777" w:rsidR="00F324FC" w:rsidRDefault="00F324FC" w:rsidP="00B47296">
      <w:pPr>
        <w:pStyle w:val="Heading4indent"/>
        <w:rPr>
          <w:lang w:eastAsia="en-US"/>
        </w:rPr>
      </w:pPr>
      <w:r>
        <w:rPr>
          <w:lang w:eastAsia="en-US"/>
        </w:rPr>
        <w:t>The Treasury Trust Fund</w:t>
      </w:r>
    </w:p>
    <w:p w14:paraId="30F414A5" w14:textId="77777777" w:rsidR="00F324FC" w:rsidRDefault="00F324FC" w:rsidP="00F324FC">
      <w:pPr>
        <w:pStyle w:val="NormalIndent"/>
        <w:rPr>
          <w:lang w:eastAsia="en-US"/>
        </w:rPr>
      </w:pPr>
      <w:r>
        <w:rPr>
          <w:lang w:eastAsia="en-US"/>
        </w:rPr>
        <w:t xml:space="preserve">The Treasury Trust Fund was originally established under the </w:t>
      </w:r>
      <w:r w:rsidRPr="000F010F">
        <w:rPr>
          <w:i/>
          <w:lang w:eastAsia="en-US"/>
        </w:rPr>
        <w:t>Audit Act 1958</w:t>
      </w:r>
      <w:r>
        <w:rPr>
          <w:lang w:eastAsia="en-US"/>
        </w:rPr>
        <w:t xml:space="preserve"> to facilitate the recording and accounting for unclaimed and unidentified moneys held by Departments</w:t>
      </w:r>
      <w:r w:rsidR="007E4EBA">
        <w:rPr>
          <w:lang w:eastAsia="en-US"/>
        </w:rPr>
        <w:t>.</w:t>
      </w:r>
      <w:r w:rsidR="003F2219">
        <w:rPr>
          <w:rStyle w:val="FootnoteReference"/>
          <w:lang w:eastAsia="en-US"/>
        </w:rPr>
        <w:footnoteReference w:id="18"/>
      </w:r>
    </w:p>
    <w:p w14:paraId="1EC8C3ED" w14:textId="440251D6" w:rsidR="00F324FC" w:rsidRDefault="007E4EBA" w:rsidP="00F324FC">
      <w:pPr>
        <w:pStyle w:val="NormalIndent"/>
        <w:rPr>
          <w:lang w:eastAsia="en-US"/>
        </w:rPr>
      </w:pPr>
      <w:r>
        <w:rPr>
          <w:lang w:eastAsia="en-US"/>
        </w:rPr>
        <w:t>However o</w:t>
      </w:r>
      <w:r w:rsidR="00F324FC">
        <w:rPr>
          <w:lang w:eastAsia="en-US"/>
        </w:rPr>
        <w:t xml:space="preserve">ver time, the </w:t>
      </w:r>
      <w:r w:rsidR="00EE5E09">
        <w:rPr>
          <w:lang w:eastAsia="en-US"/>
        </w:rPr>
        <w:t xml:space="preserve">interpretation of the possible </w:t>
      </w:r>
      <w:r w:rsidR="00F324FC">
        <w:rPr>
          <w:lang w:eastAsia="en-US"/>
        </w:rPr>
        <w:t>use</w:t>
      </w:r>
      <w:r w:rsidR="00EE5E09">
        <w:rPr>
          <w:lang w:eastAsia="en-US"/>
        </w:rPr>
        <w:t>s</w:t>
      </w:r>
      <w:r w:rsidR="00F324FC">
        <w:rPr>
          <w:lang w:eastAsia="en-US"/>
        </w:rPr>
        <w:t xml:space="preserve"> of the Treasury Trust Fund appear to have </w:t>
      </w:r>
      <w:r w:rsidR="00EE5E09">
        <w:rPr>
          <w:lang w:eastAsia="en-US"/>
        </w:rPr>
        <w:t>exceeded the</w:t>
      </w:r>
      <w:r w:rsidR="00F324FC">
        <w:rPr>
          <w:lang w:eastAsia="en-US"/>
        </w:rPr>
        <w:t xml:space="preserve"> original </w:t>
      </w:r>
      <w:r w:rsidR="00EE5E09">
        <w:rPr>
          <w:lang w:eastAsia="en-US"/>
        </w:rPr>
        <w:t xml:space="preserve">intended </w:t>
      </w:r>
      <w:r w:rsidR="00F324FC">
        <w:rPr>
          <w:lang w:eastAsia="en-US"/>
        </w:rPr>
        <w:t>purpose of the account. The Auditor</w:t>
      </w:r>
      <w:r w:rsidR="00F03E57">
        <w:rPr>
          <w:lang w:eastAsia="en-US"/>
        </w:rPr>
        <w:noBreakHyphen/>
      </w:r>
      <w:r w:rsidR="00F324FC">
        <w:rPr>
          <w:lang w:eastAsia="en-US"/>
        </w:rPr>
        <w:t xml:space="preserve">General in particular has made comments in published reports about the use of the Treasury Trust Fund. </w:t>
      </w:r>
    </w:p>
    <w:p w14:paraId="082903E2" w14:textId="446DFD23" w:rsidR="00F324FC" w:rsidRDefault="00F324FC" w:rsidP="00F324FC">
      <w:pPr>
        <w:pStyle w:val="NormalIndent"/>
        <w:rPr>
          <w:lang w:eastAsia="en-US"/>
        </w:rPr>
      </w:pPr>
      <w:r>
        <w:rPr>
          <w:lang w:eastAsia="en-US"/>
        </w:rPr>
        <w:t>Therefore, the use of the Treasury Trust Fund is being strictly monitored by DTF.</w:t>
      </w:r>
      <w:r w:rsidR="00581FF7">
        <w:rPr>
          <w:rStyle w:val="FootnoteReference"/>
          <w:lang w:eastAsia="en-US"/>
        </w:rPr>
        <w:footnoteReference w:id="19"/>
      </w:r>
      <w:r>
        <w:rPr>
          <w:lang w:eastAsia="en-US"/>
        </w:rPr>
        <w:t xml:space="preserve"> Specific requirements relating to the Treasury Trust Fund are detailed in the Mandatory </w:t>
      </w:r>
      <w:r w:rsidR="00997D1E">
        <w:rPr>
          <w:lang w:eastAsia="en-US"/>
        </w:rPr>
        <w:t>r</w:t>
      </w:r>
      <w:r>
        <w:rPr>
          <w:lang w:eastAsia="en-US"/>
        </w:rPr>
        <w:t>equirements of this section.</w:t>
      </w:r>
    </w:p>
    <w:p w14:paraId="2886ACC6" w14:textId="77777777" w:rsidR="00AE2404" w:rsidRDefault="00AE2404" w:rsidP="00AE2404">
      <w:pPr>
        <w:pStyle w:val="NormalIndent"/>
      </w:pPr>
    </w:p>
    <w:p w14:paraId="5BD756F4" w14:textId="77777777" w:rsidR="00AE2404" w:rsidRPr="00AE2404" w:rsidRDefault="00AE2404" w:rsidP="00AE2404">
      <w:pPr>
        <w:spacing w:before="0" w:after="200"/>
        <w:rPr>
          <w:rFonts w:asciiTheme="majorHAnsi" w:eastAsiaTheme="majorEastAsia" w:hAnsiTheme="majorHAnsi" w:cstheme="majorBidi"/>
          <w:b/>
          <w:bCs/>
          <w:color w:val="0063A6" w:themeColor="accent1"/>
          <w:sz w:val="28"/>
          <w:szCs w:val="26"/>
        </w:rPr>
      </w:pPr>
      <w:r>
        <w:br w:type="page"/>
      </w:r>
    </w:p>
    <w:p w14:paraId="6F2FB1D8" w14:textId="2FF40ADA" w:rsidR="00402C76" w:rsidRPr="00816278" w:rsidRDefault="00402C76" w:rsidP="00696C7D">
      <w:pPr>
        <w:pStyle w:val="Heading2numbered"/>
      </w:pPr>
      <w:bookmarkStart w:id="45" w:name="_Toc476658094"/>
      <w:r w:rsidRPr="00B46F3E">
        <w:lastRenderedPageBreak/>
        <w:t>Treasurer’s</w:t>
      </w:r>
      <w:r w:rsidRPr="00816278">
        <w:t xml:space="preserve"> Advance</w:t>
      </w:r>
      <w:r w:rsidR="00EF65D6">
        <w:t xml:space="preserve"> for urgent and unforeseen claims</w:t>
      </w:r>
      <w:bookmarkEnd w:id="45"/>
    </w:p>
    <w:tbl>
      <w:tblPr>
        <w:tblStyle w:val="Mandatory"/>
        <w:tblW w:w="7483" w:type="dxa"/>
        <w:tblLook w:val="0620" w:firstRow="1" w:lastRow="0" w:firstColumn="0" w:lastColumn="0" w:noHBand="1" w:noVBand="1"/>
      </w:tblPr>
      <w:tblGrid>
        <w:gridCol w:w="7483"/>
      </w:tblGrid>
      <w:tr w:rsidR="00402C76" w:rsidRPr="00402C76" w14:paraId="44C958DB" w14:textId="77777777" w:rsidTr="00DA71C1">
        <w:trPr>
          <w:cnfStyle w:val="100000000000" w:firstRow="1" w:lastRow="0" w:firstColumn="0" w:lastColumn="0" w:oddVBand="0" w:evenVBand="0" w:oddHBand="0" w:evenHBand="0" w:firstRowFirstColumn="0" w:firstRowLastColumn="0" w:lastRowFirstColumn="0" w:lastRowLastColumn="0"/>
        </w:trPr>
        <w:tc>
          <w:tcPr>
            <w:tcW w:w="7483" w:type="dxa"/>
          </w:tcPr>
          <w:p w14:paraId="13C69831" w14:textId="77777777" w:rsidR="00402C76" w:rsidRPr="00CB2EDC" w:rsidRDefault="00402C76" w:rsidP="00402C76">
            <w:pPr>
              <w:spacing w:before="120" w:after="60"/>
              <w:rPr>
                <w:sz w:val="20"/>
              </w:rPr>
            </w:pPr>
            <w:r w:rsidRPr="00E97BC8">
              <w:rPr>
                <w:sz w:val="20"/>
              </w:rPr>
              <w:t>Mandatory requirements</w:t>
            </w:r>
            <w:r w:rsidRPr="00E97BC8">
              <w:rPr>
                <w:sz w:val="20"/>
              </w:rPr>
              <w:br/>
              <w:t>TREASURER’S ADVANCE (TA)</w:t>
            </w:r>
          </w:p>
        </w:tc>
      </w:tr>
      <w:tr w:rsidR="00402C76" w:rsidRPr="00402C76" w14:paraId="566DDF62" w14:textId="77777777" w:rsidTr="00DA71C1">
        <w:trPr>
          <w:trHeight w:val="589"/>
        </w:trPr>
        <w:tc>
          <w:tcPr>
            <w:tcW w:w="7483" w:type="dxa"/>
          </w:tcPr>
          <w:p w14:paraId="7B62A737" w14:textId="77777777" w:rsidR="00402C76" w:rsidRPr="00402C76" w:rsidRDefault="00402C76" w:rsidP="00744342">
            <w:pPr>
              <w:pStyle w:val="Heading3numbered"/>
              <w:numPr>
                <w:ilvl w:val="4"/>
                <w:numId w:val="86"/>
              </w:numPr>
            </w:pPr>
            <w:bookmarkStart w:id="46" w:name="_Toc455155207"/>
            <w:bookmarkStart w:id="47" w:name="_Toc476658095"/>
            <w:r w:rsidRPr="00402C76">
              <w:t xml:space="preserve">Process </w:t>
            </w:r>
            <w:r w:rsidRPr="00B46F3E">
              <w:t>and</w:t>
            </w:r>
            <w:r w:rsidRPr="00402C76">
              <w:t xml:space="preserve"> requirements for T</w:t>
            </w:r>
            <w:r w:rsidR="009B4213">
              <w:t xml:space="preserve">reasurer’s </w:t>
            </w:r>
            <w:r w:rsidRPr="00402C76">
              <w:t>A</w:t>
            </w:r>
            <w:r w:rsidR="009B4213">
              <w:t>dvance</w:t>
            </w:r>
            <w:r w:rsidRPr="00402C76">
              <w:t xml:space="preserve"> requests</w:t>
            </w:r>
            <w:bookmarkEnd w:id="46"/>
            <w:bookmarkEnd w:id="47"/>
          </w:p>
          <w:p w14:paraId="0DF562E7" w14:textId="527A884E" w:rsidR="003D5C14" w:rsidRDefault="003D5C14" w:rsidP="003D5C14">
            <w:pPr>
              <w:pStyle w:val="Listnumindent"/>
            </w:pPr>
            <w:r w:rsidRPr="003D5C14">
              <w:t>A Department must discuss all Treasurer’s Advance funding requests with DTF, including advising of the quantum of the funding sought, prior to any correspondence being prepared in relation to the request.</w:t>
            </w:r>
          </w:p>
          <w:p w14:paraId="12B5EB22" w14:textId="514FD92C" w:rsidR="00414C6B" w:rsidRDefault="00CE48BD" w:rsidP="00744342">
            <w:pPr>
              <w:pStyle w:val="Listnumindent"/>
            </w:pPr>
            <w:r w:rsidRPr="00CE48BD">
              <w:t>In preparing a letter from a Minister to the Treasurer seeking a Treasurer's Advance, a Department must ensure that the letter includes:</w:t>
            </w:r>
          </w:p>
          <w:p w14:paraId="680A3E75" w14:textId="2A8B37AD" w:rsidR="00414C6B" w:rsidRDefault="007B4952" w:rsidP="00744342">
            <w:pPr>
              <w:pStyle w:val="Listnumindent2"/>
            </w:pPr>
            <w:r w:rsidRPr="007B4952">
              <w:t>the reasons for the funding request, including whether the request is urgent and unforeseen;</w:t>
            </w:r>
          </w:p>
          <w:p w14:paraId="6C0AF6CD" w14:textId="77777777" w:rsidR="00414C6B" w:rsidRDefault="00402C76" w:rsidP="00744342">
            <w:pPr>
              <w:pStyle w:val="Listnumindent2"/>
            </w:pPr>
            <w:r w:rsidRPr="00414C6B">
              <w:t>the q</w:t>
            </w:r>
            <w:r w:rsidR="00414C6B">
              <w:t xml:space="preserve">uantum of the </w:t>
            </w:r>
            <w:r w:rsidR="00EC4DC2">
              <w:t xml:space="preserve">funding </w:t>
            </w:r>
            <w:r w:rsidR="00414C6B">
              <w:t>sought;</w:t>
            </w:r>
          </w:p>
          <w:p w14:paraId="7BAB10AD" w14:textId="370B2750" w:rsidR="009944A7" w:rsidRDefault="00552171" w:rsidP="00744342">
            <w:pPr>
              <w:pStyle w:val="Listnumindent2"/>
            </w:pPr>
            <w:r>
              <w:t xml:space="preserve">confirmation </w:t>
            </w:r>
            <w:r w:rsidR="009944A7">
              <w:t>that there are no other sources available to fund the request;</w:t>
            </w:r>
          </w:p>
          <w:p w14:paraId="6CABC6F0" w14:textId="77777777" w:rsidR="00414C6B" w:rsidRDefault="00414C6B" w:rsidP="00744342">
            <w:pPr>
              <w:pStyle w:val="Listnumindent2"/>
            </w:pPr>
            <w:r w:rsidRPr="00414C6B">
              <w:t>how the funding request a</w:t>
            </w:r>
            <w:r w:rsidR="00402C76" w:rsidRPr="00414C6B">
              <w:t>lign</w:t>
            </w:r>
            <w:r w:rsidRPr="00414C6B">
              <w:t>s</w:t>
            </w:r>
            <w:r w:rsidR="00402C76" w:rsidRPr="00414C6B">
              <w:t xml:space="preserve"> with </w:t>
            </w:r>
            <w:r w:rsidR="001662C9" w:rsidRPr="00414C6B">
              <w:t>G</w:t>
            </w:r>
            <w:r w:rsidR="00402C76" w:rsidRPr="00414C6B">
              <w:t>overnment objectives</w:t>
            </w:r>
            <w:r w:rsidR="005A5591">
              <w:t>;</w:t>
            </w:r>
          </w:p>
          <w:p w14:paraId="14FBDC67" w14:textId="77777777" w:rsidR="005A5591" w:rsidRDefault="005A5591" w:rsidP="00744342">
            <w:pPr>
              <w:pStyle w:val="Listnumindent2"/>
            </w:pPr>
            <w:r>
              <w:t xml:space="preserve">any proposed </w:t>
            </w:r>
            <w:r w:rsidR="009944A7">
              <w:t>adjustments</w:t>
            </w:r>
            <w:r>
              <w:t xml:space="preserve"> to </w:t>
            </w:r>
            <w:r w:rsidR="009944A7">
              <w:t xml:space="preserve">output and financial </w:t>
            </w:r>
            <w:r>
              <w:t>performance targets arising from the request; and</w:t>
            </w:r>
          </w:p>
          <w:p w14:paraId="1D430E99" w14:textId="2A346352" w:rsidR="00402C76" w:rsidRDefault="00402C76" w:rsidP="00744342">
            <w:pPr>
              <w:pStyle w:val="Listnumindent2"/>
            </w:pPr>
            <w:r w:rsidRPr="00402C76">
              <w:t xml:space="preserve">any funding variations previously approved by the Treasurer or the relevant Cabinet </w:t>
            </w:r>
            <w:r w:rsidR="00552171">
              <w:t>c</w:t>
            </w:r>
            <w:r w:rsidRPr="00402C76">
              <w:t>ommittee</w:t>
            </w:r>
            <w:r w:rsidR="00660FE5">
              <w:t xml:space="preserve"> for the program </w:t>
            </w:r>
            <w:r w:rsidR="005A03EF">
              <w:t xml:space="preserve">or output </w:t>
            </w:r>
            <w:r w:rsidR="002C566B">
              <w:t>seeking an advance</w:t>
            </w:r>
            <w:r w:rsidRPr="00402C76">
              <w:t>.</w:t>
            </w:r>
          </w:p>
          <w:p w14:paraId="3093B962" w14:textId="77777777" w:rsidR="00402C76" w:rsidRPr="00402C76" w:rsidRDefault="00402C76" w:rsidP="00652E55">
            <w:pPr>
              <w:pStyle w:val="Heading3numbered"/>
            </w:pPr>
            <w:bookmarkStart w:id="48" w:name="_Toc455155208"/>
            <w:bookmarkStart w:id="49" w:name="_Toc476658096"/>
            <w:r w:rsidRPr="00402C76">
              <w:t xml:space="preserve">Reporting on </w:t>
            </w:r>
            <w:r w:rsidR="009B4213" w:rsidRPr="00402C76">
              <w:t>T</w:t>
            </w:r>
            <w:r w:rsidR="009B4213">
              <w:t xml:space="preserve">reasurer’s </w:t>
            </w:r>
            <w:r w:rsidR="009B4213" w:rsidRPr="00402C76">
              <w:t>A</w:t>
            </w:r>
            <w:r w:rsidR="009B4213">
              <w:t>dvance</w:t>
            </w:r>
            <w:r w:rsidRPr="00402C76">
              <w:t xml:space="preserve"> expenditure</w:t>
            </w:r>
            <w:bookmarkEnd w:id="48"/>
            <w:bookmarkEnd w:id="49"/>
          </w:p>
          <w:p w14:paraId="2E3BA81D" w14:textId="77777777" w:rsidR="00402C76" w:rsidRPr="00402C76" w:rsidRDefault="00402C76" w:rsidP="00402C76">
            <w:pPr>
              <w:spacing w:before="100"/>
              <w:ind w:left="792"/>
            </w:pPr>
            <w:r w:rsidRPr="00402C76">
              <w:t xml:space="preserve">All expenses and obligations to which any </w:t>
            </w:r>
            <w:r w:rsidR="009B4213" w:rsidRPr="009B4213">
              <w:t>Treasurer’s Advance</w:t>
            </w:r>
            <w:r w:rsidRPr="00402C76">
              <w:t xml:space="preserve"> is applied must be reported in the financial year in respect of which the advance(s) was made.</w:t>
            </w:r>
          </w:p>
          <w:p w14:paraId="41AD2D43" w14:textId="77777777" w:rsidR="00402C76" w:rsidRPr="00402C76" w:rsidRDefault="00402C76" w:rsidP="00652E55">
            <w:pPr>
              <w:pStyle w:val="Heading3numbered"/>
            </w:pPr>
            <w:bookmarkStart w:id="50" w:name="_Toc455155209"/>
            <w:bookmarkStart w:id="51" w:name="_Toc476658097"/>
            <w:r w:rsidRPr="00402C76">
              <w:t xml:space="preserve">Restrictions on </w:t>
            </w:r>
            <w:r w:rsidR="009B4213" w:rsidRPr="009B4213">
              <w:t>Treasurer’s Advance</w:t>
            </w:r>
            <w:bookmarkEnd w:id="50"/>
            <w:bookmarkEnd w:id="51"/>
          </w:p>
          <w:p w14:paraId="2BAE3D2E" w14:textId="506ED760" w:rsidR="00402C76" w:rsidRPr="00402C76" w:rsidRDefault="00402C76" w:rsidP="00E90268">
            <w:pPr>
              <w:spacing w:before="100"/>
              <w:ind w:left="792"/>
            </w:pPr>
            <w:r w:rsidRPr="00402C76">
              <w:t xml:space="preserve">Any unapplied component of a </w:t>
            </w:r>
            <w:r w:rsidR="009B4213" w:rsidRPr="009B4213">
              <w:t>Treasurer’s Advance</w:t>
            </w:r>
            <w:r w:rsidRPr="00402C76">
              <w:t xml:space="preserve"> in a given year lapses</w:t>
            </w:r>
            <w:r w:rsidR="00E90268">
              <w:t xml:space="preserve"> at the end of the year. Departments are not permitted to carry over </w:t>
            </w:r>
            <w:r w:rsidR="00552171">
              <w:t xml:space="preserve">a </w:t>
            </w:r>
            <w:r w:rsidR="00E90268">
              <w:t xml:space="preserve">Treasurer’s Advance </w:t>
            </w:r>
            <w:r w:rsidRPr="00402C76">
              <w:t>to the following year.</w:t>
            </w:r>
          </w:p>
        </w:tc>
      </w:tr>
    </w:tbl>
    <w:p w14:paraId="501F8BFE" w14:textId="77777777" w:rsidR="00862803" w:rsidRPr="00862803" w:rsidRDefault="00862803" w:rsidP="00056F4E">
      <w:pPr>
        <w:pStyle w:val="Heading2indent"/>
      </w:pPr>
      <w:r w:rsidRPr="00862803">
        <w:t>Guidance</w:t>
      </w:r>
    </w:p>
    <w:p w14:paraId="654A5D7F" w14:textId="77777777" w:rsidR="00402C76" w:rsidRPr="00402C76" w:rsidRDefault="00402C76" w:rsidP="000B672C">
      <w:pPr>
        <w:pStyle w:val="Heading3indent"/>
      </w:pPr>
      <w:r w:rsidRPr="00402C76">
        <w:t>Definition</w:t>
      </w:r>
    </w:p>
    <w:p w14:paraId="70F1C340" w14:textId="0F08C36D" w:rsidR="00402C76" w:rsidRDefault="00402C76" w:rsidP="00402C76">
      <w:pPr>
        <w:spacing w:line="252" w:lineRule="auto"/>
        <w:ind w:left="792"/>
      </w:pPr>
      <w:r w:rsidRPr="00402C76">
        <w:t xml:space="preserve">The Treasurer’s Advance (TA) represents a specific appropriation </w:t>
      </w:r>
      <w:r w:rsidR="00E90268">
        <w:t>made available</w:t>
      </w:r>
      <w:r w:rsidR="00E90268" w:rsidRPr="00402C76">
        <w:t xml:space="preserve"> </w:t>
      </w:r>
      <w:r w:rsidRPr="00402C76">
        <w:t xml:space="preserve">to the Treasurer each year as part of the </w:t>
      </w:r>
      <w:r w:rsidR="001662C9">
        <w:t>a</w:t>
      </w:r>
      <w:r w:rsidRPr="000F010F">
        <w:t>nnual Appropriation Act</w:t>
      </w:r>
      <w:r w:rsidR="004F1151">
        <w:t>, to meet any ‘</w:t>
      </w:r>
      <w:r w:rsidRPr="00402C76">
        <w:t>… urgent claims that may arise before Parliamentary sanction is obtained</w:t>
      </w:r>
      <w:r w:rsidR="004F1151">
        <w:t>’</w:t>
      </w:r>
      <w:r w:rsidRPr="00402C76">
        <w:t xml:space="preserve">. </w:t>
      </w:r>
      <w:r w:rsidR="00E90268">
        <w:t>Parliamentary sanction</w:t>
      </w:r>
      <w:r w:rsidRPr="00402C76">
        <w:t xml:space="preserve"> is obtained through the </w:t>
      </w:r>
      <w:r w:rsidR="00E90268">
        <w:t xml:space="preserve">tabling in </w:t>
      </w:r>
      <w:r w:rsidR="005A03EF">
        <w:t xml:space="preserve">a </w:t>
      </w:r>
      <w:r w:rsidRPr="00402C76">
        <w:t xml:space="preserve">subsequent financial year’s annual Appropriation </w:t>
      </w:r>
      <w:r w:rsidR="005A03EF">
        <w:t>Bill</w:t>
      </w:r>
      <w:r w:rsidRPr="00402C76">
        <w:t>, which includes a schedule outlining all payments made against TA</w:t>
      </w:r>
      <w:r w:rsidR="003F2219">
        <w:t xml:space="preserve"> in </w:t>
      </w:r>
      <w:r w:rsidR="005A03EF">
        <w:t xml:space="preserve">that </w:t>
      </w:r>
      <w:r w:rsidR="003F2219">
        <w:t>previous financial year</w:t>
      </w:r>
      <w:r w:rsidRPr="00402C76">
        <w:t xml:space="preserve">. </w:t>
      </w:r>
    </w:p>
    <w:p w14:paraId="60397681" w14:textId="17842AD4" w:rsidR="00CC37A7" w:rsidRPr="00402C76" w:rsidRDefault="00CC37A7" w:rsidP="00402C76">
      <w:pPr>
        <w:spacing w:line="252" w:lineRule="auto"/>
        <w:ind w:left="792"/>
      </w:pPr>
      <w:r>
        <w:t xml:space="preserve">Additional warrant is </w:t>
      </w:r>
      <w:r w:rsidRPr="003D272A">
        <w:rPr>
          <w:b/>
        </w:rPr>
        <w:t>not</w:t>
      </w:r>
      <w:r>
        <w:t xml:space="preserve"> required to access TA.</w:t>
      </w:r>
    </w:p>
    <w:p w14:paraId="6078E023" w14:textId="77777777" w:rsidR="00B47296" w:rsidRDefault="00B47296">
      <w:pPr>
        <w:spacing w:before="0" w:after="200"/>
        <w:rPr>
          <w:rFonts w:asciiTheme="majorHAnsi" w:eastAsiaTheme="majorEastAsia" w:hAnsiTheme="majorHAnsi" w:cstheme="majorBidi"/>
          <w:b/>
          <w:bCs/>
          <w:color w:val="0063A6" w:themeColor="accent1"/>
          <w:sz w:val="22"/>
          <w:szCs w:val="22"/>
        </w:rPr>
      </w:pPr>
      <w:r>
        <w:br w:type="page"/>
      </w:r>
    </w:p>
    <w:p w14:paraId="05DC6098" w14:textId="71C6535C" w:rsidR="00402C76" w:rsidRPr="00402C76" w:rsidRDefault="00402C76" w:rsidP="000B672C">
      <w:pPr>
        <w:pStyle w:val="Heading3indent"/>
      </w:pPr>
      <w:r w:rsidRPr="00402C76">
        <w:lastRenderedPageBreak/>
        <w:t>Conditions</w:t>
      </w:r>
    </w:p>
    <w:p w14:paraId="727261E3" w14:textId="15B65D63" w:rsidR="00402C76" w:rsidRDefault="00402C76" w:rsidP="00402C76">
      <w:pPr>
        <w:spacing w:line="252" w:lineRule="auto"/>
        <w:ind w:left="792"/>
      </w:pPr>
      <w:r w:rsidRPr="00402C76">
        <w:t xml:space="preserve">TA </w:t>
      </w:r>
      <w:r w:rsidR="00EB45D3">
        <w:t xml:space="preserve">capacity </w:t>
      </w:r>
      <w:r w:rsidRPr="00402C76">
        <w:t xml:space="preserve">is limited to the amount </w:t>
      </w:r>
      <w:r w:rsidR="003F2219">
        <w:t>that</w:t>
      </w:r>
      <w:r w:rsidRPr="00402C76">
        <w:t xml:space="preserve"> appears in Schedule 1 </w:t>
      </w:r>
      <w:r w:rsidR="005A03EF">
        <w:t xml:space="preserve">of the Appropriation Act </w:t>
      </w:r>
      <w:r w:rsidRPr="00402C76">
        <w:t>under DTF. As such, the Treasurer will initially only provide approval in</w:t>
      </w:r>
      <w:r w:rsidR="005A03EF">
        <w:noBreakHyphen/>
      </w:r>
      <w:r w:rsidRPr="00402C76">
        <w:t>principle for successful funding requests. The final source of funding for this supplementation will be reviewed by DTF</w:t>
      </w:r>
      <w:r w:rsidR="00EB45D3">
        <w:t xml:space="preserve"> and confirmed by the Treasurer</w:t>
      </w:r>
      <w:r w:rsidRPr="00402C76">
        <w:t xml:space="preserve"> </w:t>
      </w:r>
      <w:r w:rsidR="005A03EF">
        <w:t>towards</w:t>
      </w:r>
      <w:r w:rsidR="005A03EF" w:rsidRPr="00402C76">
        <w:t xml:space="preserve"> </w:t>
      </w:r>
      <w:r w:rsidRPr="00402C76">
        <w:t xml:space="preserve">the end of the financial year, taking into account total TA capacity and other available sources of </w:t>
      </w:r>
      <w:r w:rsidR="00835AF2">
        <w:t xml:space="preserve">Departmental </w:t>
      </w:r>
      <w:r w:rsidRPr="00402C76">
        <w:t>appropriation authority.</w:t>
      </w:r>
    </w:p>
    <w:p w14:paraId="292223EC" w14:textId="52977540" w:rsidR="00DD7953" w:rsidRPr="00402C76" w:rsidRDefault="00DD7953" w:rsidP="00402C76">
      <w:pPr>
        <w:spacing w:line="252" w:lineRule="auto"/>
        <w:ind w:left="792"/>
      </w:pPr>
      <w:r>
        <w:t xml:space="preserve">TA may be applied to </w:t>
      </w:r>
      <w:r w:rsidR="00CF0AF5">
        <w:t>o</w:t>
      </w:r>
      <w:r w:rsidR="005A03EF">
        <w:t xml:space="preserve">utput </w:t>
      </w:r>
      <w:r>
        <w:t xml:space="preserve">or </w:t>
      </w:r>
      <w:r w:rsidR="00835AF2">
        <w:t xml:space="preserve">asset funding </w:t>
      </w:r>
      <w:r>
        <w:t>requests. This is determined by the Treasurer informed by advice from DTF.</w:t>
      </w:r>
    </w:p>
    <w:p w14:paraId="1DC8E24A" w14:textId="77777777" w:rsidR="00402C76" w:rsidRPr="00402C76" w:rsidRDefault="00402C76" w:rsidP="000B672C">
      <w:pPr>
        <w:pStyle w:val="Heading3indent"/>
      </w:pPr>
      <w:r w:rsidRPr="00402C76">
        <w:t>Reporting</w:t>
      </w:r>
    </w:p>
    <w:p w14:paraId="3E9DE449" w14:textId="77777777" w:rsidR="00402C76" w:rsidRPr="00402C76" w:rsidRDefault="00402C76" w:rsidP="00402C76">
      <w:pPr>
        <w:spacing w:line="252" w:lineRule="auto"/>
        <w:ind w:left="792"/>
      </w:pPr>
      <w:r w:rsidRPr="00402C76">
        <w:t xml:space="preserve">Accountability for use of the </w:t>
      </w:r>
      <w:r w:rsidR="003F2219">
        <w:t>TA</w:t>
      </w:r>
      <w:r w:rsidRPr="00402C76">
        <w:t xml:space="preserve"> is also met through the presentation of a summary of each year’s expenditure in the State’s Annual Financial Report which is tabled in the Parliament after the end of each financial year.</w:t>
      </w:r>
    </w:p>
    <w:p w14:paraId="4A4B8F39" w14:textId="77777777" w:rsidR="00402C76" w:rsidRPr="00402C76" w:rsidRDefault="00402C76" w:rsidP="000B672C">
      <w:pPr>
        <w:pStyle w:val="Heading3indent"/>
      </w:pPr>
      <w:r w:rsidRPr="00402C76">
        <w:t>Application and assessment process</w:t>
      </w:r>
    </w:p>
    <w:p w14:paraId="4FC25B38" w14:textId="62063687" w:rsidR="00402C76" w:rsidRDefault="005121E0" w:rsidP="00402C76">
      <w:pPr>
        <w:spacing w:line="252" w:lineRule="auto"/>
        <w:ind w:left="792"/>
      </w:pPr>
      <w:r>
        <w:t xml:space="preserve">A </w:t>
      </w:r>
      <w:r w:rsidR="00552171">
        <w:t>M</w:t>
      </w:r>
      <w:r>
        <w:t xml:space="preserve">inister may apply for </w:t>
      </w:r>
      <w:r w:rsidR="00402C76" w:rsidRPr="00402C76">
        <w:t xml:space="preserve">budget supplementation </w:t>
      </w:r>
      <w:r>
        <w:t>f</w:t>
      </w:r>
      <w:r w:rsidR="00C30174">
        <w:t>rom</w:t>
      </w:r>
      <w:r>
        <w:t xml:space="preserve"> TA by submitting a letter </w:t>
      </w:r>
      <w:r w:rsidR="00EB45D3">
        <w:t xml:space="preserve">of request </w:t>
      </w:r>
      <w:r>
        <w:t xml:space="preserve">to the Treasurer. </w:t>
      </w:r>
    </w:p>
    <w:p w14:paraId="6E324131" w14:textId="77777777" w:rsidR="00132E13" w:rsidRPr="00402C76" w:rsidRDefault="00132E13" w:rsidP="00132E13">
      <w:pPr>
        <w:spacing w:line="252" w:lineRule="auto"/>
        <w:ind w:left="792"/>
      </w:pPr>
      <w:r w:rsidRPr="00402C76">
        <w:t>Each request is assessed by DTF and advice is provided to the Treasurer. The Treasurer will then determine whether or not to fund the request.</w:t>
      </w:r>
    </w:p>
    <w:p w14:paraId="18FBEA71" w14:textId="77777777" w:rsidR="00132E13" w:rsidRPr="00132E13" w:rsidRDefault="00132E13" w:rsidP="00132E13">
      <w:pPr>
        <w:spacing w:line="252" w:lineRule="auto"/>
        <w:ind w:left="792"/>
        <w:rPr>
          <w:i/>
        </w:rPr>
      </w:pPr>
      <w:r w:rsidRPr="00132E13">
        <w:rPr>
          <w:i/>
        </w:rPr>
        <w:t>Please note the following:</w:t>
      </w:r>
    </w:p>
    <w:p w14:paraId="135DAB6C" w14:textId="7A9C2547" w:rsidR="00132E13" w:rsidRDefault="00F845E8" w:rsidP="00132E13">
      <w:pPr>
        <w:spacing w:line="252" w:lineRule="auto"/>
        <w:ind w:left="792"/>
      </w:pPr>
      <w:r>
        <w:t>For n</w:t>
      </w:r>
      <w:r w:rsidR="00132E13">
        <w:t xml:space="preserve">ew policy decisions made by Cabinet or a sub-committee that requires a </w:t>
      </w:r>
      <w:r w:rsidR="006979A0">
        <w:t>TA</w:t>
      </w:r>
      <w:r>
        <w:t>, r</w:t>
      </w:r>
      <w:r w:rsidR="00552171">
        <w:t>efer to S</w:t>
      </w:r>
      <w:r w:rsidR="00EF65D6">
        <w:t xml:space="preserve">ection 4.2 Central Contingencies for guidance on </w:t>
      </w:r>
      <w:r>
        <w:t xml:space="preserve">such </w:t>
      </w:r>
      <w:r w:rsidR="00EF65D6">
        <w:t>requests.</w:t>
      </w:r>
    </w:p>
    <w:p w14:paraId="0B8614D2" w14:textId="4D14C858" w:rsidR="00132E13" w:rsidRDefault="00132E13" w:rsidP="00402C76">
      <w:pPr>
        <w:spacing w:line="252" w:lineRule="auto"/>
        <w:ind w:left="792"/>
      </w:pPr>
      <w:r>
        <w:t xml:space="preserve">A </w:t>
      </w:r>
      <w:r w:rsidR="006979A0">
        <w:t>TA</w:t>
      </w:r>
      <w:r>
        <w:t xml:space="preserve"> request is for funding in the current financial year only. If changes in funding are required in the other forward estimates years, </w:t>
      </w:r>
      <w:r w:rsidR="00EB45D3">
        <w:t xml:space="preserve">this should be foreshadowed in the TA request and </w:t>
      </w:r>
      <w:r>
        <w:t xml:space="preserve">a submission should </w:t>
      </w:r>
      <w:r w:rsidR="00EB45D3">
        <w:t xml:space="preserve">then </w:t>
      </w:r>
      <w:r>
        <w:t xml:space="preserve">be made as part of the annual </w:t>
      </w:r>
      <w:r w:rsidR="003F2219">
        <w:t>b</w:t>
      </w:r>
      <w:r>
        <w:t>udget process.</w:t>
      </w:r>
    </w:p>
    <w:p w14:paraId="31D973D0" w14:textId="77777777" w:rsidR="00402C76" w:rsidRPr="00402C76" w:rsidRDefault="00402C76" w:rsidP="000B672C">
      <w:pPr>
        <w:pStyle w:val="Heading3indent"/>
      </w:pPr>
      <w:r w:rsidRPr="00402C76">
        <w:t>Approval notification</w:t>
      </w:r>
    </w:p>
    <w:p w14:paraId="7E3CBCE3" w14:textId="534F0C14" w:rsidR="008424A4" w:rsidRDefault="008424A4" w:rsidP="00402C76">
      <w:pPr>
        <w:spacing w:line="252" w:lineRule="auto"/>
        <w:ind w:left="792"/>
      </w:pPr>
      <w:r>
        <w:t xml:space="preserve">The Treasurer will provide </w:t>
      </w:r>
      <w:r w:rsidR="00D1544F">
        <w:t xml:space="preserve">return correspondence to the </w:t>
      </w:r>
      <w:r w:rsidR="00552171">
        <w:t>M</w:t>
      </w:r>
      <w:r w:rsidR="00D1544F">
        <w:t xml:space="preserve">inister making the request. </w:t>
      </w:r>
    </w:p>
    <w:p w14:paraId="7B2757DB" w14:textId="77777777" w:rsidR="00402C76" w:rsidRPr="00402C76" w:rsidRDefault="00402C76" w:rsidP="00402C76">
      <w:pPr>
        <w:spacing w:line="252" w:lineRule="auto"/>
        <w:ind w:left="792"/>
      </w:pPr>
      <w:r w:rsidRPr="00402C76">
        <w:t xml:space="preserve">DTF will </w:t>
      </w:r>
      <w:r w:rsidR="00D1544F">
        <w:t xml:space="preserve">also </w:t>
      </w:r>
      <w:r w:rsidRPr="00402C76">
        <w:t>advise the Department</w:t>
      </w:r>
      <w:r w:rsidR="00D1544F">
        <w:t xml:space="preserve"> on the following if the funding request is approved:</w:t>
      </w:r>
    </w:p>
    <w:p w14:paraId="2F627574" w14:textId="77777777" w:rsidR="00402C76" w:rsidRPr="00402C76" w:rsidRDefault="00402C76" w:rsidP="000F010F">
      <w:pPr>
        <w:pStyle w:val="Listnumindent"/>
      </w:pPr>
      <w:r w:rsidRPr="00402C76">
        <w:t>the source of the funding;</w:t>
      </w:r>
    </w:p>
    <w:p w14:paraId="6F40B795" w14:textId="77777777" w:rsidR="00402C76" w:rsidRPr="00402C76" w:rsidRDefault="00402C76" w:rsidP="000F010F">
      <w:pPr>
        <w:pStyle w:val="Listnumindent"/>
      </w:pPr>
      <w:r w:rsidRPr="00402C76">
        <w:t xml:space="preserve">the revenue limit; and </w:t>
      </w:r>
    </w:p>
    <w:p w14:paraId="20CFC42B" w14:textId="77777777" w:rsidR="00402C76" w:rsidRPr="00402C76" w:rsidRDefault="00402C76" w:rsidP="009B4213">
      <w:pPr>
        <w:pStyle w:val="Listnumindent"/>
      </w:pPr>
      <w:r w:rsidRPr="00402C76">
        <w:t>adjusted output and financial perf</w:t>
      </w:r>
      <w:r w:rsidR="009B4213">
        <w:t>ormance targets (if relevant).</w:t>
      </w:r>
    </w:p>
    <w:p w14:paraId="5DA574F8" w14:textId="77777777" w:rsidR="00402C76" w:rsidRPr="00402C76" w:rsidRDefault="00402C76" w:rsidP="00402C76">
      <w:pPr>
        <w:spacing w:before="0" w:after="200"/>
        <w:rPr>
          <w:rFonts w:asciiTheme="majorHAnsi" w:eastAsiaTheme="majorEastAsia" w:hAnsiTheme="majorHAnsi" w:cstheme="majorBidi"/>
          <w:b/>
          <w:bCs/>
          <w:color w:val="0063A6" w:themeColor="accent1"/>
          <w:sz w:val="28"/>
          <w:szCs w:val="26"/>
        </w:rPr>
      </w:pPr>
      <w:r w:rsidRPr="00402C76">
        <w:br w:type="page"/>
      </w:r>
    </w:p>
    <w:p w14:paraId="2F8535A5" w14:textId="1A8F3BB3" w:rsidR="00402C76" w:rsidRPr="00402C76" w:rsidRDefault="00765778" w:rsidP="00696C7D">
      <w:pPr>
        <w:pStyle w:val="Heading2numbered"/>
      </w:pPr>
      <w:bookmarkStart w:id="52" w:name="_Toc455155210"/>
      <w:bookmarkStart w:id="53" w:name="_Toc476658098"/>
      <w:r>
        <w:lastRenderedPageBreak/>
        <w:t>Supplementation under</w:t>
      </w:r>
      <w:r w:rsidR="00402C76" w:rsidRPr="00402C76">
        <w:t xml:space="preserve"> </w:t>
      </w:r>
      <w:r w:rsidR="00552171">
        <w:t>s</w:t>
      </w:r>
      <w:r w:rsidR="00402C76" w:rsidRPr="00402C76">
        <w:t>ection 35 of the FMA</w:t>
      </w:r>
      <w:bookmarkEnd w:id="52"/>
      <w:bookmarkEnd w:id="53"/>
    </w:p>
    <w:tbl>
      <w:tblPr>
        <w:tblStyle w:val="Mandatory"/>
        <w:tblW w:w="7483" w:type="dxa"/>
        <w:tblLook w:val="0620" w:firstRow="1" w:lastRow="0" w:firstColumn="0" w:lastColumn="0" w:noHBand="1" w:noVBand="1"/>
      </w:tblPr>
      <w:tblGrid>
        <w:gridCol w:w="7483"/>
      </w:tblGrid>
      <w:tr w:rsidR="00402C76" w:rsidRPr="00402C76" w14:paraId="3E830C85" w14:textId="77777777" w:rsidTr="00DA71C1">
        <w:trPr>
          <w:cnfStyle w:val="100000000000" w:firstRow="1" w:lastRow="0" w:firstColumn="0" w:lastColumn="0" w:oddVBand="0" w:evenVBand="0" w:oddHBand="0" w:evenHBand="0" w:firstRowFirstColumn="0" w:firstRowLastColumn="0" w:lastRowFirstColumn="0" w:lastRowLastColumn="0"/>
        </w:trPr>
        <w:tc>
          <w:tcPr>
            <w:tcW w:w="7483" w:type="dxa"/>
          </w:tcPr>
          <w:p w14:paraId="2467D5D5" w14:textId="09FE00BE" w:rsidR="00402C76" w:rsidRPr="00E97BC8" w:rsidRDefault="00402C76" w:rsidP="0067075D">
            <w:pPr>
              <w:spacing w:before="120" w:after="60"/>
              <w:rPr>
                <w:sz w:val="20"/>
              </w:rPr>
            </w:pPr>
            <w:r w:rsidRPr="00E97BC8">
              <w:rPr>
                <w:sz w:val="20"/>
              </w:rPr>
              <w:t>Mandatory requirements</w:t>
            </w:r>
            <w:r w:rsidRPr="00E97BC8">
              <w:rPr>
                <w:sz w:val="20"/>
              </w:rPr>
              <w:br/>
            </w:r>
            <w:r w:rsidR="00765778" w:rsidRPr="00E97BC8">
              <w:rPr>
                <w:sz w:val="20"/>
              </w:rPr>
              <w:t>S</w:t>
            </w:r>
            <w:r w:rsidR="0067075D" w:rsidRPr="00E97BC8">
              <w:rPr>
                <w:sz w:val="20"/>
              </w:rPr>
              <w:t xml:space="preserve">UPPLEMENTATION UNDER SECTION 35 OF THE </w:t>
            </w:r>
            <w:r w:rsidRPr="00E97BC8">
              <w:rPr>
                <w:sz w:val="20"/>
              </w:rPr>
              <w:t>FMA</w:t>
            </w:r>
          </w:p>
        </w:tc>
      </w:tr>
      <w:tr w:rsidR="00402C76" w:rsidRPr="00402C76" w14:paraId="78388ED4" w14:textId="77777777" w:rsidTr="00DA71C1">
        <w:trPr>
          <w:trHeight w:val="589"/>
        </w:trPr>
        <w:tc>
          <w:tcPr>
            <w:tcW w:w="7483" w:type="dxa"/>
          </w:tcPr>
          <w:p w14:paraId="44841060" w14:textId="6DC68F36" w:rsidR="00402C76" w:rsidRPr="000F010F" w:rsidRDefault="00402C76" w:rsidP="00DA412B">
            <w:pPr>
              <w:pStyle w:val="Heading3numbered"/>
              <w:numPr>
                <w:ilvl w:val="4"/>
                <w:numId w:val="25"/>
              </w:numPr>
            </w:pPr>
            <w:bookmarkStart w:id="54" w:name="_Toc476658099"/>
            <w:r w:rsidRPr="000F010F">
              <w:t xml:space="preserve">Process and requirements for </w:t>
            </w:r>
            <w:r w:rsidR="00765778">
              <w:t xml:space="preserve">requests for supplementation under </w:t>
            </w:r>
            <w:r w:rsidR="0067075D">
              <w:t>s</w:t>
            </w:r>
            <w:r w:rsidRPr="000F010F">
              <w:t xml:space="preserve">ection 35 </w:t>
            </w:r>
            <w:r w:rsidR="00765778">
              <w:t>of the FMA</w:t>
            </w:r>
            <w:bookmarkEnd w:id="54"/>
          </w:p>
          <w:p w14:paraId="19750659" w14:textId="7570F2C4" w:rsidR="003F19CE" w:rsidRDefault="00CE48BD" w:rsidP="003F19CE">
            <w:pPr>
              <w:spacing w:before="100"/>
              <w:ind w:left="792"/>
            </w:pPr>
            <w:r w:rsidRPr="00CE48BD">
              <w:t xml:space="preserve">In preparing a letter from a Minister to the Treasurer seeking </w:t>
            </w:r>
            <w:r>
              <w:t xml:space="preserve">supplementation from </w:t>
            </w:r>
            <w:r w:rsidR="00552171">
              <w:t>s</w:t>
            </w:r>
            <w:r>
              <w:t>ection 35 of the FMA</w:t>
            </w:r>
            <w:r w:rsidRPr="00CE48BD">
              <w:t>, a Department must ensure that the letter includes:</w:t>
            </w:r>
          </w:p>
          <w:p w14:paraId="39814525" w14:textId="77777777" w:rsidR="003F19CE" w:rsidRDefault="003F19CE" w:rsidP="00DA7648">
            <w:pPr>
              <w:pStyle w:val="Listnumindent"/>
            </w:pPr>
            <w:r>
              <w:t>the reasons for the funding request;</w:t>
            </w:r>
          </w:p>
          <w:p w14:paraId="2F467ADA" w14:textId="77777777" w:rsidR="003F19CE" w:rsidRDefault="003F19CE" w:rsidP="00DA7648">
            <w:pPr>
              <w:pStyle w:val="Listnumindent"/>
            </w:pPr>
            <w:r>
              <w:t>the quantum of the variation sought;</w:t>
            </w:r>
          </w:p>
          <w:p w14:paraId="3DE3D1F1" w14:textId="0FDF3F87" w:rsidR="002C566B" w:rsidRPr="002C566B" w:rsidRDefault="00552171" w:rsidP="00DA7648">
            <w:pPr>
              <w:pStyle w:val="Listnumindent"/>
            </w:pPr>
            <w:r>
              <w:t xml:space="preserve">confirmation </w:t>
            </w:r>
            <w:r w:rsidR="002C566B" w:rsidRPr="002C566B">
              <w:t>that there are no other sources available to fund the request;</w:t>
            </w:r>
          </w:p>
          <w:p w14:paraId="67F9CEBC" w14:textId="77777777" w:rsidR="003F19CE" w:rsidRDefault="003F19CE" w:rsidP="00DA7648">
            <w:pPr>
              <w:pStyle w:val="Listnumindent"/>
            </w:pPr>
            <w:r>
              <w:t>how the funding request aligns with Government objectives</w:t>
            </w:r>
            <w:r w:rsidR="006979A0">
              <w:t>;</w:t>
            </w:r>
          </w:p>
          <w:p w14:paraId="757CE75F" w14:textId="77777777" w:rsidR="002C566B" w:rsidRDefault="002C566B" w:rsidP="00DA7648">
            <w:pPr>
              <w:pStyle w:val="Listnumindent"/>
            </w:pPr>
            <w:r>
              <w:t>any proposed adjustments to output and financial performance targets arising from the request; and</w:t>
            </w:r>
          </w:p>
          <w:p w14:paraId="53C528FD" w14:textId="091E357A" w:rsidR="002C566B" w:rsidRDefault="002C566B" w:rsidP="00DA7648">
            <w:pPr>
              <w:pStyle w:val="Listnumindent"/>
            </w:pPr>
            <w:r>
              <w:t xml:space="preserve">any funding variations previously approved by the Treasurer or the relevant Cabinet </w:t>
            </w:r>
            <w:r w:rsidR="00552171">
              <w:t>c</w:t>
            </w:r>
            <w:r>
              <w:t xml:space="preserve">ommittee for the program seeking </w:t>
            </w:r>
            <w:r w:rsidR="00765778">
              <w:t>the supplementation</w:t>
            </w:r>
            <w:r>
              <w:t>.</w:t>
            </w:r>
          </w:p>
          <w:p w14:paraId="4DC246F4" w14:textId="66F64EED" w:rsidR="00402C76" w:rsidRPr="00402C76" w:rsidRDefault="00402C76" w:rsidP="000F010F">
            <w:pPr>
              <w:pStyle w:val="Heading3numbered"/>
            </w:pPr>
            <w:bookmarkStart w:id="55" w:name="_Toc476658100"/>
            <w:r w:rsidRPr="00402C76">
              <w:t xml:space="preserve">Reporting on </w:t>
            </w:r>
            <w:r w:rsidR="00765778">
              <w:t xml:space="preserve">supplementation under </w:t>
            </w:r>
            <w:r w:rsidR="00552171">
              <w:t>s</w:t>
            </w:r>
            <w:r w:rsidRPr="00402C76">
              <w:t xml:space="preserve">ection 35 </w:t>
            </w:r>
            <w:r w:rsidR="00765778">
              <w:t>of the FMA</w:t>
            </w:r>
            <w:bookmarkEnd w:id="55"/>
          </w:p>
          <w:p w14:paraId="3128DEB3" w14:textId="77777777" w:rsidR="00402C76" w:rsidRDefault="00402C76" w:rsidP="00402C76">
            <w:pPr>
              <w:spacing w:before="100"/>
              <w:ind w:left="792"/>
            </w:pPr>
            <w:r w:rsidRPr="00402C76">
              <w:t>All expenses and obligations to which any Section 35</w:t>
            </w:r>
            <w:r w:rsidR="00A2569E">
              <w:t xml:space="preserve"> of the</w:t>
            </w:r>
            <w:r w:rsidRPr="00402C76">
              <w:t xml:space="preserve"> </w:t>
            </w:r>
            <w:r w:rsidR="00765778">
              <w:t>FMA</w:t>
            </w:r>
            <w:r w:rsidR="009B28A9">
              <w:t xml:space="preserve"> </w:t>
            </w:r>
            <w:r w:rsidRPr="00402C76">
              <w:t xml:space="preserve">is applied must be reported in the financial year in respect of which the </w:t>
            </w:r>
            <w:r w:rsidR="00765778">
              <w:t>supplementation</w:t>
            </w:r>
            <w:r w:rsidRPr="00402C76">
              <w:t xml:space="preserve"> was </w:t>
            </w:r>
            <w:r w:rsidR="00765778">
              <w:t>provided</w:t>
            </w:r>
            <w:r w:rsidRPr="00402C76">
              <w:t>.</w:t>
            </w:r>
          </w:p>
          <w:p w14:paraId="07F44DA0" w14:textId="123ED07D" w:rsidR="00402C76" w:rsidRPr="00402C76" w:rsidRDefault="00402C76" w:rsidP="000F010F">
            <w:pPr>
              <w:pStyle w:val="Heading3numbered"/>
            </w:pPr>
            <w:bookmarkStart w:id="56" w:name="_Toc476658101"/>
            <w:r w:rsidRPr="00402C76">
              <w:t xml:space="preserve">Restrictions on </w:t>
            </w:r>
            <w:r w:rsidR="00552171">
              <w:t>s</w:t>
            </w:r>
            <w:r w:rsidRPr="00402C76">
              <w:t xml:space="preserve">ection 35 </w:t>
            </w:r>
            <w:r w:rsidR="00765778">
              <w:t>of the FMA</w:t>
            </w:r>
            <w:bookmarkEnd w:id="56"/>
          </w:p>
          <w:p w14:paraId="4252A960" w14:textId="0ED0FE97" w:rsidR="002C566B" w:rsidRPr="00402C76" w:rsidRDefault="00A2569E" w:rsidP="00552171">
            <w:pPr>
              <w:spacing w:before="100"/>
              <w:ind w:left="792"/>
            </w:pPr>
            <w:r>
              <w:t>If a</w:t>
            </w:r>
            <w:r w:rsidR="00402C76" w:rsidRPr="00402C76">
              <w:t xml:space="preserve">ny component of a </w:t>
            </w:r>
            <w:r w:rsidR="00552171">
              <w:t>s</w:t>
            </w:r>
            <w:r w:rsidR="00402C76" w:rsidRPr="00402C76">
              <w:t xml:space="preserve">ection 35 </w:t>
            </w:r>
            <w:r w:rsidR="00765778">
              <w:t>FMA</w:t>
            </w:r>
            <w:r w:rsidR="00402C76" w:rsidRPr="00402C76">
              <w:t xml:space="preserve"> </w:t>
            </w:r>
            <w:r>
              <w:t xml:space="preserve">supplementation </w:t>
            </w:r>
            <w:r w:rsidR="00402C76" w:rsidRPr="00402C76">
              <w:t xml:space="preserve">in a given year </w:t>
            </w:r>
            <w:r w:rsidR="006C5244">
              <w:t>remains unapplied (i.e. unspent) at the end of the financial year</w:t>
            </w:r>
            <w:r w:rsidR="00402C76" w:rsidRPr="00402C76">
              <w:t xml:space="preserve">, </w:t>
            </w:r>
            <w:r>
              <w:t xml:space="preserve">it </w:t>
            </w:r>
            <w:r w:rsidR="00CE48BD">
              <w:t>may</w:t>
            </w:r>
            <w:r w:rsidR="006C5244">
              <w:t xml:space="preserve"> only</w:t>
            </w:r>
            <w:r w:rsidR="00402C76" w:rsidRPr="00402C76">
              <w:t xml:space="preserve"> be carried over to the following year</w:t>
            </w:r>
            <w:r w:rsidR="006C5244">
              <w:t xml:space="preserve"> with the approval of the Treasurer (FMA section 35 (4))</w:t>
            </w:r>
            <w:r w:rsidR="00402C76" w:rsidRPr="00402C76">
              <w:t>.</w:t>
            </w:r>
          </w:p>
        </w:tc>
      </w:tr>
    </w:tbl>
    <w:p w14:paraId="2CCC5BBE" w14:textId="77777777" w:rsidR="00862803" w:rsidRPr="00862803" w:rsidRDefault="00862803" w:rsidP="00056F4E">
      <w:pPr>
        <w:pStyle w:val="Heading2indent"/>
      </w:pPr>
      <w:r w:rsidRPr="00862803">
        <w:t>Guidance</w:t>
      </w:r>
    </w:p>
    <w:p w14:paraId="36E86443" w14:textId="77777777" w:rsidR="00402C76" w:rsidRPr="00402C76" w:rsidRDefault="00402C76" w:rsidP="000B672C">
      <w:pPr>
        <w:pStyle w:val="Heading3indent"/>
      </w:pPr>
      <w:r w:rsidRPr="00402C76">
        <w:t>Definition</w:t>
      </w:r>
    </w:p>
    <w:p w14:paraId="0C5B28D2" w14:textId="02C39CA8" w:rsidR="00402C76" w:rsidRPr="00402C76" w:rsidRDefault="00402C76" w:rsidP="00402C76">
      <w:pPr>
        <w:spacing w:line="252" w:lineRule="auto"/>
        <w:ind w:left="792"/>
      </w:pPr>
      <w:r w:rsidRPr="00402C76">
        <w:t xml:space="preserve">Section 35 of the FMA authorises the Treasurer to issue funding out of the Public Account to enable a Minister to meet urgent claims in the current budget year. Such urgent claims for Budget supplementation may include funding required for additional output and asset investment initiatives approved by the relevant Cabinet </w:t>
      </w:r>
      <w:r w:rsidR="00552171">
        <w:t>c</w:t>
      </w:r>
      <w:r w:rsidRPr="00402C76">
        <w:t xml:space="preserve">ommittee. </w:t>
      </w:r>
    </w:p>
    <w:p w14:paraId="2039C8E6" w14:textId="255D9C8B" w:rsidR="00402C76" w:rsidRPr="00402C76" w:rsidRDefault="00402C76" w:rsidP="00402C76">
      <w:pPr>
        <w:spacing w:line="252" w:lineRule="auto"/>
        <w:ind w:left="792"/>
      </w:pPr>
      <w:r w:rsidRPr="00402C76">
        <w:t>Parliamentary sanction</w:t>
      </w:r>
      <w:r w:rsidR="007574E5">
        <w:t xml:space="preserve"> is</w:t>
      </w:r>
      <w:r w:rsidRPr="00402C76">
        <w:t xml:space="preserve"> required for this funding</w:t>
      </w:r>
      <w:r w:rsidR="007574E5">
        <w:t xml:space="preserve"> pursuant to the specific wording of section 35 itself</w:t>
      </w:r>
      <w:r w:rsidRPr="00402C76">
        <w:t>.</w:t>
      </w:r>
      <w:r w:rsidR="00BE15C9">
        <w:t xml:space="preserve"> This is addressed in </w:t>
      </w:r>
      <w:r w:rsidR="007574E5">
        <w:t>a subsequent</w:t>
      </w:r>
      <w:r w:rsidR="00BE15C9">
        <w:t xml:space="preserve"> year’s Ap</w:t>
      </w:r>
      <w:r w:rsidR="006C3E44">
        <w:t xml:space="preserve">propriation </w:t>
      </w:r>
      <w:r w:rsidR="007574E5">
        <w:t xml:space="preserve">Bill </w:t>
      </w:r>
      <w:r w:rsidR="006C3E44">
        <w:t>(section 7)</w:t>
      </w:r>
      <w:r w:rsidR="00BE15C9">
        <w:t>.</w:t>
      </w:r>
      <w:r w:rsidR="006C3E44">
        <w:t xml:space="preserve"> Therefore</w:t>
      </w:r>
      <w:r w:rsidR="007574E5">
        <w:t>, because it is technically an advance from the Public Account until such time as approved by Parliament,</w:t>
      </w:r>
      <w:r w:rsidR="006C3E44">
        <w:t xml:space="preserve"> </w:t>
      </w:r>
      <w:r w:rsidR="00A2569E">
        <w:t xml:space="preserve">a </w:t>
      </w:r>
      <w:r w:rsidR="006C3E44">
        <w:t xml:space="preserve">warrant is </w:t>
      </w:r>
      <w:r w:rsidR="006C3E44" w:rsidRPr="008B0CC7">
        <w:rPr>
          <w:b/>
        </w:rPr>
        <w:t>not</w:t>
      </w:r>
      <w:r w:rsidR="006C3E44">
        <w:t xml:space="preserve"> required for supplementation under </w:t>
      </w:r>
      <w:r w:rsidR="00552171">
        <w:t>s</w:t>
      </w:r>
      <w:r w:rsidR="006C3E44">
        <w:t>ection 35 of the FMA.</w:t>
      </w:r>
    </w:p>
    <w:p w14:paraId="63DCD367" w14:textId="367D76D0" w:rsidR="00402C76" w:rsidRPr="00402C76" w:rsidRDefault="00402C76" w:rsidP="00402C76">
      <w:pPr>
        <w:spacing w:line="252" w:lineRule="auto"/>
        <w:ind w:left="792"/>
      </w:pPr>
      <w:r w:rsidRPr="00402C76">
        <w:t>In a single budget year, the Treasurer is only authorised</w:t>
      </w:r>
      <w:r w:rsidR="00CC37A7">
        <w:t xml:space="preserve"> under section 35</w:t>
      </w:r>
      <w:r w:rsidRPr="00402C76">
        <w:t xml:space="preserve"> to issue </w:t>
      </w:r>
      <w:r w:rsidR="009B28A9">
        <w:t>t</w:t>
      </w:r>
      <w:r w:rsidRPr="00402C76">
        <w:t xml:space="preserve">emporary </w:t>
      </w:r>
      <w:r w:rsidR="009B28A9">
        <w:t>a</w:t>
      </w:r>
      <w:r w:rsidRPr="00402C76">
        <w:t xml:space="preserve">dvances </w:t>
      </w:r>
      <w:r w:rsidR="00CC37A7">
        <w:t xml:space="preserve">of </w:t>
      </w:r>
      <w:r w:rsidRPr="00402C76">
        <w:t>up to 0.5</w:t>
      </w:r>
      <w:r w:rsidR="00552171">
        <w:t xml:space="preserve"> per cent</w:t>
      </w:r>
      <w:r w:rsidRPr="00402C76">
        <w:t xml:space="preserve"> of the total amount appropriated by the annual Appropriation Act (the main bill) for that year</w:t>
      </w:r>
      <w:r w:rsidR="00695A2B">
        <w:t>.</w:t>
      </w:r>
      <w:r w:rsidRPr="00402C76">
        <w:rPr>
          <w:vertAlign w:val="superscript"/>
        </w:rPr>
        <w:footnoteReference w:id="20"/>
      </w:r>
    </w:p>
    <w:p w14:paraId="29A70AEF" w14:textId="77777777" w:rsidR="00402C76" w:rsidRPr="00402C76" w:rsidRDefault="00402C76" w:rsidP="000B672C">
      <w:pPr>
        <w:pStyle w:val="Heading3indent"/>
      </w:pPr>
      <w:r w:rsidRPr="00402C76">
        <w:lastRenderedPageBreak/>
        <w:t>Conditions</w:t>
      </w:r>
    </w:p>
    <w:p w14:paraId="085B379D" w14:textId="1EDA37DC" w:rsidR="00EF69A9" w:rsidRDefault="00402C76" w:rsidP="00DA7648">
      <w:pPr>
        <w:spacing w:line="252" w:lineRule="auto"/>
        <w:ind w:left="792"/>
      </w:pPr>
      <w:r w:rsidRPr="00402C76">
        <w:t xml:space="preserve">The Treasurer will initially only provide approval in-principle for successful funding requests under </w:t>
      </w:r>
      <w:r w:rsidR="00552171">
        <w:t>s</w:t>
      </w:r>
      <w:r w:rsidRPr="00402C76">
        <w:t>ection 35. The final source of funding for this supplementation will be reviewed by DTF at the end of the financial year, taking into account other available sources of appropriation authority.</w:t>
      </w:r>
    </w:p>
    <w:p w14:paraId="2E712BC6" w14:textId="77777777" w:rsidR="00402C76" w:rsidRPr="00402C76" w:rsidRDefault="00402C76" w:rsidP="000B672C">
      <w:pPr>
        <w:pStyle w:val="Heading3indent"/>
      </w:pPr>
      <w:r w:rsidRPr="00402C76">
        <w:t>Reporting</w:t>
      </w:r>
    </w:p>
    <w:p w14:paraId="46A90513" w14:textId="21109131" w:rsidR="00402C76" w:rsidRPr="00402C76" w:rsidRDefault="00402C76" w:rsidP="00402C76">
      <w:pPr>
        <w:spacing w:line="252" w:lineRule="auto"/>
        <w:ind w:left="792"/>
      </w:pPr>
      <w:r w:rsidRPr="00402C76">
        <w:t xml:space="preserve">Accountability for use of </w:t>
      </w:r>
      <w:r w:rsidR="00552171">
        <w:t>s</w:t>
      </w:r>
      <w:r w:rsidRPr="00402C76">
        <w:t>ection 35 is also met through the presentation of a summary of each year’s expenditure in the State’s Annual Financial Report which is tabled in Parliament after the end of each financial year.</w:t>
      </w:r>
    </w:p>
    <w:p w14:paraId="5D3481F1" w14:textId="77777777" w:rsidR="00402C76" w:rsidRPr="00402C76" w:rsidRDefault="00402C76" w:rsidP="000B672C">
      <w:pPr>
        <w:pStyle w:val="Heading3indent"/>
      </w:pPr>
      <w:r w:rsidRPr="00402C76">
        <w:t>Application and assessment process</w:t>
      </w:r>
    </w:p>
    <w:p w14:paraId="4269E4CD" w14:textId="4D94307F" w:rsidR="00402C76" w:rsidRPr="00402C76" w:rsidRDefault="00BE15C9" w:rsidP="00402C76">
      <w:pPr>
        <w:spacing w:line="252" w:lineRule="auto"/>
        <w:ind w:left="792"/>
      </w:pPr>
      <w:r w:rsidRPr="00BE15C9">
        <w:t xml:space="preserve">A </w:t>
      </w:r>
      <w:r w:rsidR="00552171">
        <w:t>M</w:t>
      </w:r>
      <w:r w:rsidRPr="00BE15C9">
        <w:t xml:space="preserve">inister may apply for budget supplementation from </w:t>
      </w:r>
      <w:r w:rsidR="00552171">
        <w:t>s</w:t>
      </w:r>
      <w:r>
        <w:t xml:space="preserve">ection 35 </w:t>
      </w:r>
      <w:r w:rsidRPr="00BE15C9">
        <w:t xml:space="preserve">by submitting a letter </w:t>
      </w:r>
      <w:r w:rsidR="007574E5">
        <w:t xml:space="preserve">of request </w:t>
      </w:r>
      <w:r w:rsidRPr="00BE15C9">
        <w:t xml:space="preserve">to the Treasurer. </w:t>
      </w:r>
    </w:p>
    <w:p w14:paraId="737B55AD" w14:textId="77777777" w:rsidR="00402C76" w:rsidRPr="00402C76" w:rsidRDefault="00402C76" w:rsidP="00402C76">
      <w:pPr>
        <w:spacing w:line="252" w:lineRule="auto"/>
        <w:ind w:left="792"/>
      </w:pPr>
      <w:r w:rsidRPr="00402C76">
        <w:t>Each request is assessed by DTF and advice is provided to the Treasurer</w:t>
      </w:r>
      <w:r w:rsidR="00695A2B">
        <w:t xml:space="preserve">. The Treasurer will </w:t>
      </w:r>
      <w:r w:rsidRPr="00402C76">
        <w:t>determine whether or not to fund the request.</w:t>
      </w:r>
    </w:p>
    <w:p w14:paraId="5D92B971" w14:textId="77777777" w:rsidR="00402C76" w:rsidRPr="00402C76" w:rsidRDefault="00402C76" w:rsidP="000B672C">
      <w:pPr>
        <w:pStyle w:val="Heading3indent"/>
      </w:pPr>
      <w:r w:rsidRPr="00402C76">
        <w:t>Approval notification</w:t>
      </w:r>
    </w:p>
    <w:p w14:paraId="60E11DF5" w14:textId="49154F21" w:rsidR="00BE15C9" w:rsidRDefault="00BE15C9" w:rsidP="00BE15C9">
      <w:pPr>
        <w:spacing w:line="252" w:lineRule="auto"/>
        <w:ind w:left="792"/>
      </w:pPr>
      <w:r>
        <w:t xml:space="preserve">The Treasurer will provide return correspondence to the </w:t>
      </w:r>
      <w:r w:rsidR="00552171">
        <w:t>M</w:t>
      </w:r>
      <w:r>
        <w:t xml:space="preserve">inister making the request. </w:t>
      </w:r>
    </w:p>
    <w:p w14:paraId="37472E26" w14:textId="77777777" w:rsidR="00BE15C9" w:rsidRPr="00402C76" w:rsidRDefault="00BE15C9" w:rsidP="00BE15C9">
      <w:pPr>
        <w:spacing w:line="252" w:lineRule="auto"/>
        <w:ind w:left="792"/>
      </w:pPr>
      <w:r w:rsidRPr="00402C76">
        <w:t xml:space="preserve">DTF will </w:t>
      </w:r>
      <w:r>
        <w:t xml:space="preserve">also </w:t>
      </w:r>
      <w:r w:rsidRPr="00402C76">
        <w:t>advise the Department</w:t>
      </w:r>
      <w:r>
        <w:t xml:space="preserve"> on the following if the funding request is approved:</w:t>
      </w:r>
    </w:p>
    <w:p w14:paraId="40C24218" w14:textId="77777777" w:rsidR="00402C76" w:rsidRPr="00402C76" w:rsidRDefault="00402C76" w:rsidP="000F010F">
      <w:pPr>
        <w:pStyle w:val="Listnumindent"/>
      </w:pPr>
      <w:r w:rsidRPr="00402C76">
        <w:t>the source of the funding;</w:t>
      </w:r>
    </w:p>
    <w:p w14:paraId="776E67D6" w14:textId="77777777" w:rsidR="00402C76" w:rsidRPr="00402C76" w:rsidRDefault="00402C76" w:rsidP="000F010F">
      <w:pPr>
        <w:pStyle w:val="Listnumindent"/>
      </w:pPr>
      <w:r w:rsidRPr="00402C76">
        <w:t xml:space="preserve">the revenue limit; and </w:t>
      </w:r>
    </w:p>
    <w:p w14:paraId="619263C4" w14:textId="77777777" w:rsidR="00402C76" w:rsidRPr="00402C76" w:rsidRDefault="00402C76" w:rsidP="000F010F">
      <w:pPr>
        <w:pStyle w:val="Listnumindent"/>
      </w:pPr>
      <w:r w:rsidRPr="00402C76">
        <w:t xml:space="preserve">adjusted output and financial performance targets (if relevant). </w:t>
      </w:r>
    </w:p>
    <w:p w14:paraId="480A4D1D" w14:textId="51897A68" w:rsidR="00402C76" w:rsidRPr="00402C76" w:rsidRDefault="00402C76" w:rsidP="000B672C">
      <w:pPr>
        <w:pStyle w:val="Heading3indent"/>
      </w:pPr>
      <w:r w:rsidRPr="00402C76">
        <w:t xml:space="preserve">The difference between </w:t>
      </w:r>
      <w:r w:rsidR="00552171">
        <w:t xml:space="preserve">a </w:t>
      </w:r>
      <w:r w:rsidRPr="00402C76">
        <w:t xml:space="preserve">Treasurer’s Advance and </w:t>
      </w:r>
      <w:r w:rsidR="00BE15C9">
        <w:t xml:space="preserve">supplementation under </w:t>
      </w:r>
      <w:r w:rsidR="00552171">
        <w:t>s</w:t>
      </w:r>
      <w:r w:rsidRPr="00402C76">
        <w:t xml:space="preserve">ection 35 </w:t>
      </w:r>
      <w:r w:rsidR="00BE15C9">
        <w:t>of the FMA</w:t>
      </w:r>
    </w:p>
    <w:p w14:paraId="4E3D357D" w14:textId="375D3DC7" w:rsidR="00402C76" w:rsidRPr="00402C76" w:rsidRDefault="00EF69A9" w:rsidP="004E367E">
      <w:pPr>
        <w:pStyle w:val="NormalIndent"/>
      </w:pPr>
      <w:r>
        <w:t xml:space="preserve">A </w:t>
      </w:r>
      <w:r w:rsidR="00402C76" w:rsidRPr="00402C76">
        <w:t xml:space="preserve">Treasurer’s Advance and </w:t>
      </w:r>
      <w:r w:rsidR="00BE15C9">
        <w:t>supplementation</w:t>
      </w:r>
      <w:r>
        <w:t xml:space="preserve"> under </w:t>
      </w:r>
      <w:r w:rsidR="00552171">
        <w:t>s</w:t>
      </w:r>
      <w:r w:rsidR="00402C76" w:rsidRPr="00402C76">
        <w:t xml:space="preserve">ection 35 </w:t>
      </w:r>
      <w:r w:rsidR="00552171">
        <w:t xml:space="preserve">of the FMA </w:t>
      </w:r>
      <w:r w:rsidR="00402C76" w:rsidRPr="00402C76">
        <w:t xml:space="preserve">provide </w:t>
      </w:r>
      <w:r w:rsidR="007574E5">
        <w:t xml:space="preserve">the </w:t>
      </w:r>
      <w:r w:rsidR="00402C76" w:rsidRPr="00402C76">
        <w:t xml:space="preserve">Government with two sources of </w:t>
      </w:r>
      <w:r w:rsidR="007574E5">
        <w:t xml:space="preserve">(almost identical) </w:t>
      </w:r>
      <w:r w:rsidR="00402C76" w:rsidRPr="00402C76">
        <w:t xml:space="preserve">additional funding to supplement the Budget in a given year. The key difference is that the Treasurer’s Advance appropriation is accounted for in the </w:t>
      </w:r>
      <w:r w:rsidR="007574E5">
        <w:t>b</w:t>
      </w:r>
      <w:r w:rsidR="007574E5" w:rsidRPr="00402C76">
        <w:t xml:space="preserve">udget </w:t>
      </w:r>
      <w:r w:rsidR="007574E5">
        <w:t xml:space="preserve">estimates </w:t>
      </w:r>
      <w:r w:rsidR="00402C76" w:rsidRPr="00402C76">
        <w:t xml:space="preserve">and the Annual Appropriation Bill (under the Treasury and Finance portfolio), whereas </w:t>
      </w:r>
      <w:r w:rsidR="007574E5" w:rsidRPr="00402C76">
        <w:t>fund</w:t>
      </w:r>
      <w:r w:rsidR="007574E5">
        <w:t>ing legally available</w:t>
      </w:r>
      <w:r w:rsidR="00402C76" w:rsidRPr="00402C76">
        <w:t xml:space="preserve"> under </w:t>
      </w:r>
      <w:r w:rsidR="00552171">
        <w:t>s</w:t>
      </w:r>
      <w:r w:rsidR="00402C76" w:rsidRPr="00402C76">
        <w:t xml:space="preserve">ection 35 </w:t>
      </w:r>
      <w:r w:rsidR="007574E5">
        <w:t>is</w:t>
      </w:r>
      <w:r w:rsidR="007574E5" w:rsidRPr="00402C76">
        <w:t xml:space="preserve"> </w:t>
      </w:r>
      <w:r w:rsidR="00BE15C9">
        <w:t xml:space="preserve">generally </w:t>
      </w:r>
      <w:r w:rsidR="00A2569E">
        <w:t xml:space="preserve">not </w:t>
      </w:r>
      <w:r w:rsidR="00402C76" w:rsidRPr="00402C76">
        <w:t xml:space="preserve">included in the </w:t>
      </w:r>
      <w:r w:rsidR="007574E5">
        <w:t>estimates</w:t>
      </w:r>
      <w:r w:rsidR="00402C76" w:rsidRPr="00402C76">
        <w:t>.</w:t>
      </w:r>
    </w:p>
    <w:p w14:paraId="1D39E217" w14:textId="210A8302" w:rsidR="00402C76" w:rsidRPr="00402C76" w:rsidRDefault="00402C76" w:rsidP="004E367E">
      <w:pPr>
        <w:pStyle w:val="NormalIndent"/>
      </w:pPr>
      <w:r w:rsidRPr="00402C76">
        <w:t xml:space="preserve">In practice, this has meant </w:t>
      </w:r>
      <w:r w:rsidR="00552171">
        <w:t>s</w:t>
      </w:r>
      <w:r w:rsidRPr="00402C76">
        <w:t xml:space="preserve">ection 35 has been used to fund capital expenditure (which does not impact the operating statement), while Treasurer’s Advance is usually reserved for operating (output) expenditure. Note there is nothing specifically mentioned in the FMA </w:t>
      </w:r>
      <w:r w:rsidR="007574E5">
        <w:t xml:space="preserve">or elsewhere </w:t>
      </w:r>
      <w:r w:rsidRPr="00402C76">
        <w:t>preclud</w:t>
      </w:r>
      <w:r w:rsidR="00695A2B">
        <w:t>ing</w:t>
      </w:r>
      <w:r w:rsidRPr="00402C76">
        <w:t xml:space="preserve"> </w:t>
      </w:r>
      <w:r w:rsidR="00552171">
        <w:t>s</w:t>
      </w:r>
      <w:r w:rsidRPr="00402C76">
        <w:t>ection 35 being used to fund operating expenditure</w:t>
      </w:r>
      <w:r w:rsidR="00BE15C9">
        <w:t>, or to prevent TA from being used to fund capital expenditure.</w:t>
      </w:r>
    </w:p>
    <w:p w14:paraId="50A3527D" w14:textId="77777777" w:rsidR="00402C76" w:rsidRPr="00402C76" w:rsidRDefault="00402C76" w:rsidP="00EE7D77">
      <w:pPr>
        <w:pStyle w:val="NormalIndent"/>
      </w:pPr>
      <w:r w:rsidRPr="00402C76">
        <w:t>DTF will determine the final funding sources and seek approval from the Treasurer accordingly to u</w:t>
      </w:r>
      <w:r w:rsidR="00EE7D77">
        <w:t>se this section of the FMA.</w:t>
      </w:r>
    </w:p>
    <w:p w14:paraId="24A05FDA" w14:textId="77777777" w:rsidR="00BE15C9" w:rsidRDefault="00BE15C9">
      <w:pPr>
        <w:spacing w:before="0" w:after="200"/>
        <w:rPr>
          <w:rFonts w:asciiTheme="majorHAnsi" w:eastAsiaTheme="majorEastAsia" w:hAnsiTheme="majorHAnsi" w:cstheme="majorBidi"/>
          <w:b/>
          <w:bCs/>
          <w:color w:val="0063A6" w:themeColor="accent1"/>
          <w:sz w:val="28"/>
          <w:szCs w:val="26"/>
          <w:lang w:eastAsia="en-US"/>
        </w:rPr>
      </w:pPr>
      <w:r>
        <w:br w:type="page"/>
      </w:r>
    </w:p>
    <w:p w14:paraId="3789EAE3" w14:textId="21186C02" w:rsidR="00402C76" w:rsidRPr="00402C76" w:rsidRDefault="00BD3491" w:rsidP="00696C7D">
      <w:pPr>
        <w:pStyle w:val="Heading2numbered"/>
      </w:pPr>
      <w:bookmarkStart w:id="57" w:name="_Toc476658102"/>
      <w:r>
        <w:lastRenderedPageBreak/>
        <w:t>Borrowing against future a</w:t>
      </w:r>
      <w:r w:rsidR="00402C76" w:rsidRPr="00402C76">
        <w:t xml:space="preserve">ppropriation – </w:t>
      </w:r>
      <w:r w:rsidR="00552171">
        <w:t>s</w:t>
      </w:r>
      <w:r w:rsidR="00B47296">
        <w:t>ection 28 of the </w:t>
      </w:r>
      <w:r w:rsidR="00402C76" w:rsidRPr="00402C76">
        <w:t>FMA</w:t>
      </w:r>
      <w:bookmarkEnd w:id="57"/>
    </w:p>
    <w:tbl>
      <w:tblPr>
        <w:tblStyle w:val="Mandatory"/>
        <w:tblW w:w="7483" w:type="dxa"/>
        <w:tblLook w:val="0620" w:firstRow="1" w:lastRow="0" w:firstColumn="0" w:lastColumn="0" w:noHBand="1" w:noVBand="1"/>
      </w:tblPr>
      <w:tblGrid>
        <w:gridCol w:w="7483"/>
      </w:tblGrid>
      <w:tr w:rsidR="00402C76" w:rsidRPr="00402C76" w14:paraId="73DB9978" w14:textId="77777777" w:rsidTr="00DA71C1">
        <w:trPr>
          <w:cnfStyle w:val="100000000000" w:firstRow="1" w:lastRow="0" w:firstColumn="0" w:lastColumn="0" w:oddVBand="0" w:evenVBand="0" w:oddHBand="0" w:evenHBand="0" w:firstRowFirstColumn="0" w:firstRowLastColumn="0" w:lastRowFirstColumn="0" w:lastRowLastColumn="0"/>
        </w:trPr>
        <w:tc>
          <w:tcPr>
            <w:tcW w:w="7483" w:type="dxa"/>
          </w:tcPr>
          <w:p w14:paraId="4104E540" w14:textId="7B749885" w:rsidR="00402C76" w:rsidRPr="00E97BC8" w:rsidRDefault="00402C76" w:rsidP="0067075D">
            <w:pPr>
              <w:spacing w:before="120" w:after="60"/>
              <w:rPr>
                <w:sz w:val="20"/>
              </w:rPr>
            </w:pPr>
            <w:r w:rsidRPr="00E97BC8">
              <w:rPr>
                <w:sz w:val="20"/>
              </w:rPr>
              <w:t>Mandatory requirements</w:t>
            </w:r>
            <w:r w:rsidRPr="00E97BC8">
              <w:rPr>
                <w:sz w:val="20"/>
              </w:rPr>
              <w:br/>
            </w:r>
            <w:r w:rsidR="00BD3491" w:rsidRPr="00E97BC8">
              <w:rPr>
                <w:sz w:val="20"/>
              </w:rPr>
              <w:t>BORROWING AGAINST FUTURE APPROPRIATION</w:t>
            </w:r>
            <w:r w:rsidRPr="00E97BC8">
              <w:rPr>
                <w:sz w:val="20"/>
              </w:rPr>
              <w:t xml:space="preserve"> (</w:t>
            </w:r>
            <w:r w:rsidR="0067075D" w:rsidRPr="00E97BC8">
              <w:rPr>
                <w:sz w:val="20"/>
              </w:rPr>
              <w:t>SECTION</w:t>
            </w:r>
            <w:r w:rsidRPr="00E97BC8">
              <w:rPr>
                <w:sz w:val="20"/>
              </w:rPr>
              <w:t xml:space="preserve"> 28 </w:t>
            </w:r>
            <w:r w:rsidR="0067075D" w:rsidRPr="00E97BC8">
              <w:rPr>
                <w:sz w:val="20"/>
              </w:rPr>
              <w:t xml:space="preserve">OF THE </w:t>
            </w:r>
            <w:r w:rsidRPr="00E97BC8">
              <w:rPr>
                <w:sz w:val="20"/>
              </w:rPr>
              <w:t>FMA)</w:t>
            </w:r>
          </w:p>
        </w:tc>
      </w:tr>
      <w:tr w:rsidR="00402C76" w:rsidRPr="00402C76" w14:paraId="09B7748F" w14:textId="77777777" w:rsidTr="00DA71C1">
        <w:trPr>
          <w:trHeight w:val="589"/>
        </w:trPr>
        <w:tc>
          <w:tcPr>
            <w:tcW w:w="7483" w:type="dxa"/>
          </w:tcPr>
          <w:p w14:paraId="4A9B8CE6" w14:textId="09BE2656" w:rsidR="00402C76" w:rsidRPr="00BA62BD" w:rsidRDefault="00402C76" w:rsidP="00DA412B">
            <w:pPr>
              <w:pStyle w:val="Heading3numbered"/>
              <w:numPr>
                <w:ilvl w:val="4"/>
                <w:numId w:val="26"/>
              </w:numPr>
            </w:pPr>
            <w:bookmarkStart w:id="58" w:name="_Toc476658103"/>
            <w:r w:rsidRPr="00BA62BD">
              <w:t xml:space="preserve">Process and requirements for </w:t>
            </w:r>
            <w:r w:rsidR="00552171">
              <w:t>s</w:t>
            </w:r>
            <w:r w:rsidRPr="00BA62BD">
              <w:t xml:space="preserve">ection 28 </w:t>
            </w:r>
            <w:r w:rsidR="000A1707">
              <w:t>‘</w:t>
            </w:r>
            <w:r w:rsidR="000734ED">
              <w:t>B</w:t>
            </w:r>
            <w:r w:rsidR="00BD3491" w:rsidRPr="00BA62BD">
              <w:t>orrowing against future appropriation</w:t>
            </w:r>
            <w:r w:rsidR="000A1707">
              <w:t>’</w:t>
            </w:r>
            <w:r w:rsidRPr="00BA62BD">
              <w:t xml:space="preserve"> requests</w:t>
            </w:r>
            <w:bookmarkEnd w:id="58"/>
          </w:p>
          <w:p w14:paraId="4C793A95" w14:textId="430C1091" w:rsidR="00EE7D77" w:rsidRDefault="00E73619" w:rsidP="00EE7D77">
            <w:pPr>
              <w:spacing w:before="100"/>
              <w:ind w:left="792"/>
            </w:pPr>
            <w:r w:rsidRPr="00E73619">
              <w:t xml:space="preserve">In preparing a letter from a Minister to the Treasurer seeking supplementation from </w:t>
            </w:r>
            <w:r w:rsidR="00552171">
              <w:t>s</w:t>
            </w:r>
            <w:r w:rsidRPr="00E73619">
              <w:t xml:space="preserve">ection </w:t>
            </w:r>
            <w:r>
              <w:t>28</w:t>
            </w:r>
            <w:r w:rsidRPr="00E73619">
              <w:t xml:space="preserve"> of the FMA, a Department must ensure that the letter includes:</w:t>
            </w:r>
          </w:p>
          <w:p w14:paraId="3A5E4A83" w14:textId="77777777" w:rsidR="00CC37A7" w:rsidRDefault="00577B71" w:rsidP="002D6698">
            <w:pPr>
              <w:pStyle w:val="Listnumindent"/>
              <w:tabs>
                <w:tab w:val="clear" w:pos="1296"/>
                <w:tab w:val="num" w:pos="1263"/>
              </w:tabs>
            </w:pPr>
            <w:r>
              <w:t>the reasons for the funding request</w:t>
            </w:r>
            <w:r w:rsidR="002D6698">
              <w:t xml:space="preserve">, including how the request aligns with the specific requirements of </w:t>
            </w:r>
            <w:r w:rsidR="00552171">
              <w:t>s</w:t>
            </w:r>
            <w:r w:rsidR="002D6698">
              <w:t>ection 28. Specifically:</w:t>
            </w:r>
          </w:p>
          <w:p w14:paraId="4AD10D85" w14:textId="55E99A75" w:rsidR="00CC37A7" w:rsidRDefault="002D6698" w:rsidP="003D272A">
            <w:pPr>
              <w:pStyle w:val="Listnumindent"/>
              <w:numPr>
                <w:ilvl w:val="7"/>
                <w:numId w:val="90"/>
              </w:numPr>
            </w:pPr>
            <w:r w:rsidRPr="002D6698">
              <w:t xml:space="preserve">why it </w:t>
            </w:r>
            <w:r w:rsidR="00F70F8C">
              <w:t xml:space="preserve">is </w:t>
            </w:r>
            <w:r w:rsidRPr="002D6698">
              <w:t>considered prudent and advantageous to expend the money in the current financial year; and</w:t>
            </w:r>
          </w:p>
          <w:p w14:paraId="61C9369A" w14:textId="4D0FD47F" w:rsidR="00577B71" w:rsidRDefault="002D6698" w:rsidP="003D272A">
            <w:pPr>
              <w:pStyle w:val="Listnumindent"/>
              <w:numPr>
                <w:ilvl w:val="7"/>
                <w:numId w:val="90"/>
              </w:numPr>
            </w:pPr>
            <w:r w:rsidRPr="002D6698">
              <w:t>why the benefit of that allocation will accrue, or conti</w:t>
            </w:r>
            <w:r>
              <w:t>nue, in the next financial year</w:t>
            </w:r>
            <w:r w:rsidR="00CA2CBB">
              <w:t>;</w:t>
            </w:r>
          </w:p>
          <w:p w14:paraId="7F408EEE" w14:textId="27E6BFF1" w:rsidR="00577B71" w:rsidRDefault="00577B71" w:rsidP="00577B71">
            <w:pPr>
              <w:pStyle w:val="Listnumindent"/>
            </w:pPr>
            <w:r>
              <w:t xml:space="preserve">the quantum of the </w:t>
            </w:r>
            <w:r w:rsidR="002D6698">
              <w:t xml:space="preserve">additional funding </w:t>
            </w:r>
            <w:r>
              <w:t>sought;</w:t>
            </w:r>
          </w:p>
          <w:p w14:paraId="6AB82A42" w14:textId="77777777" w:rsidR="008851E4" w:rsidRPr="008851E4" w:rsidRDefault="00577B71" w:rsidP="008851E4">
            <w:pPr>
              <w:pStyle w:val="Listnumindent"/>
            </w:pPr>
            <w:r w:rsidRPr="002C566B">
              <w:t>that there are no other sources available to fund the request</w:t>
            </w:r>
            <w:r w:rsidR="008851E4">
              <w:t xml:space="preserve"> (or demonstrate that there is an inability to redeploy existing resources to meet assessed requirements)</w:t>
            </w:r>
            <w:r w:rsidRPr="002C566B">
              <w:t>;</w:t>
            </w:r>
          </w:p>
          <w:p w14:paraId="363A1219" w14:textId="77777777" w:rsidR="00577B71" w:rsidRDefault="00577B71" w:rsidP="00577B71">
            <w:pPr>
              <w:pStyle w:val="Listnumindent"/>
            </w:pPr>
            <w:r>
              <w:t>how the funding request aligns with Government objectives</w:t>
            </w:r>
            <w:r w:rsidR="006979A0">
              <w:t>;</w:t>
            </w:r>
          </w:p>
          <w:p w14:paraId="6CD5270A" w14:textId="77777777" w:rsidR="00577B71" w:rsidRDefault="00577B71" w:rsidP="00577B71">
            <w:pPr>
              <w:pStyle w:val="Listnumindent"/>
            </w:pPr>
            <w:r>
              <w:t>any proposed adjustments to output and financial performance targets arising from the request; and</w:t>
            </w:r>
          </w:p>
          <w:p w14:paraId="4847A24B" w14:textId="58C918C9" w:rsidR="00577B71" w:rsidRPr="00577B71" w:rsidRDefault="00577B71" w:rsidP="00577B71">
            <w:pPr>
              <w:pStyle w:val="Listnumindent"/>
            </w:pPr>
            <w:r>
              <w:t xml:space="preserve">any funding variations previously approved by the Treasurer or the relevant Cabinet </w:t>
            </w:r>
            <w:r w:rsidR="000734ED">
              <w:t>c</w:t>
            </w:r>
            <w:r>
              <w:t>ommittee for the program seeking the advance.</w:t>
            </w:r>
          </w:p>
          <w:p w14:paraId="7F29F43B" w14:textId="7240B68B" w:rsidR="00402C76" w:rsidRPr="00402C76" w:rsidRDefault="00402C76" w:rsidP="000F010F">
            <w:pPr>
              <w:pStyle w:val="Heading3numbered"/>
            </w:pPr>
            <w:bookmarkStart w:id="59" w:name="_Toc476658104"/>
            <w:r w:rsidRPr="00402C76">
              <w:t xml:space="preserve">Reporting on </w:t>
            </w:r>
            <w:r w:rsidR="000734ED">
              <w:t>s</w:t>
            </w:r>
            <w:r w:rsidRPr="00402C76">
              <w:t xml:space="preserve">ection 28 </w:t>
            </w:r>
            <w:r w:rsidR="000A1707">
              <w:t>‘</w:t>
            </w:r>
            <w:r w:rsidR="000734ED">
              <w:t>B</w:t>
            </w:r>
            <w:r w:rsidR="00EE7D77">
              <w:t>orrowing against future appropriation</w:t>
            </w:r>
            <w:r w:rsidR="000A1707">
              <w:t>’</w:t>
            </w:r>
            <w:r w:rsidRPr="00402C76">
              <w:t xml:space="preserve"> expenditure</w:t>
            </w:r>
            <w:bookmarkEnd w:id="59"/>
          </w:p>
          <w:p w14:paraId="078B653C" w14:textId="37A7EDFB" w:rsidR="00402C76" w:rsidRPr="00402C76" w:rsidRDefault="00402C76" w:rsidP="00055A6E">
            <w:pPr>
              <w:spacing w:before="100"/>
              <w:ind w:left="792"/>
            </w:pPr>
            <w:r w:rsidRPr="00402C76">
              <w:t xml:space="preserve">All expenses and obligations to which any </w:t>
            </w:r>
            <w:r w:rsidR="00055A6E">
              <w:t>s</w:t>
            </w:r>
            <w:r w:rsidRPr="00402C76">
              <w:t xml:space="preserve">ection </w:t>
            </w:r>
            <w:r w:rsidR="00EE7D77">
              <w:t>28 of the FMA</w:t>
            </w:r>
            <w:r w:rsidRPr="00402C76">
              <w:t xml:space="preserve"> is applied must be reported in the financial year in respect of which the advance(s) was made.</w:t>
            </w:r>
          </w:p>
        </w:tc>
      </w:tr>
    </w:tbl>
    <w:p w14:paraId="5DFF498B" w14:textId="77777777" w:rsidR="00862803" w:rsidRPr="00862803" w:rsidRDefault="00862803" w:rsidP="00056F4E">
      <w:pPr>
        <w:pStyle w:val="Heading2indent"/>
      </w:pPr>
      <w:r w:rsidRPr="00862803">
        <w:t>Guidance</w:t>
      </w:r>
    </w:p>
    <w:p w14:paraId="25B55129" w14:textId="77777777" w:rsidR="00402C76" w:rsidRPr="00402C76" w:rsidRDefault="00402C76" w:rsidP="000B672C">
      <w:pPr>
        <w:pStyle w:val="Heading3indent"/>
      </w:pPr>
      <w:r w:rsidRPr="00402C76">
        <w:t>Definition</w:t>
      </w:r>
    </w:p>
    <w:p w14:paraId="37F74871" w14:textId="5A5E591D" w:rsidR="00402C76" w:rsidRDefault="00402C76" w:rsidP="00402C76">
      <w:pPr>
        <w:spacing w:line="252" w:lineRule="auto"/>
        <w:ind w:left="792"/>
      </w:pPr>
      <w:r w:rsidRPr="00402C76">
        <w:t xml:space="preserve">Section 28 of the FMA enables the bringing forward of funding from future appropriations to the current year. Under the </w:t>
      </w:r>
      <w:r w:rsidR="00BD3491">
        <w:t>FMA</w:t>
      </w:r>
      <w:r w:rsidRPr="00402C76">
        <w:t xml:space="preserve">, the Governor in Council, on the recommendation of the </w:t>
      </w:r>
      <w:r w:rsidR="002D6698">
        <w:t>Treasurer</w:t>
      </w:r>
      <w:r w:rsidRPr="00402C76">
        <w:t xml:space="preserve">, may approve an allocation to a </w:t>
      </w:r>
      <w:r w:rsidR="00BD3491">
        <w:t>D</w:t>
      </w:r>
      <w:r w:rsidRPr="00402C76">
        <w:t xml:space="preserve">epartment in addition to their annual appropriation amounts.  </w:t>
      </w:r>
    </w:p>
    <w:p w14:paraId="072BBF9D" w14:textId="7357EC6B" w:rsidR="00320842" w:rsidRPr="00402C76" w:rsidRDefault="00320842">
      <w:pPr>
        <w:spacing w:line="252" w:lineRule="auto"/>
        <w:ind w:left="792"/>
      </w:pPr>
      <w:r>
        <w:t>Section 28 supplementation is deemed a special appropriation and a warrant is required.</w:t>
      </w:r>
    </w:p>
    <w:p w14:paraId="79879114" w14:textId="77777777" w:rsidR="00B47296" w:rsidRDefault="00B47296">
      <w:pPr>
        <w:spacing w:before="0" w:after="200"/>
        <w:rPr>
          <w:rFonts w:asciiTheme="majorHAnsi" w:eastAsiaTheme="majorEastAsia" w:hAnsiTheme="majorHAnsi" w:cstheme="majorBidi"/>
          <w:b/>
          <w:bCs/>
          <w:color w:val="0063A6" w:themeColor="accent1"/>
          <w:sz w:val="22"/>
          <w:szCs w:val="22"/>
        </w:rPr>
      </w:pPr>
      <w:r>
        <w:br w:type="page"/>
      </w:r>
    </w:p>
    <w:p w14:paraId="24A2F9E2" w14:textId="40F45C59" w:rsidR="00402C76" w:rsidRPr="00402C76" w:rsidRDefault="00402C76" w:rsidP="000B672C">
      <w:pPr>
        <w:pStyle w:val="Heading3indent"/>
      </w:pPr>
      <w:r w:rsidRPr="00402C76">
        <w:lastRenderedPageBreak/>
        <w:t>Conditions</w:t>
      </w:r>
    </w:p>
    <w:p w14:paraId="1B591CFC" w14:textId="406176D9" w:rsidR="00402C76" w:rsidRPr="00402C76" w:rsidRDefault="00402C76" w:rsidP="00402C76">
      <w:pPr>
        <w:spacing w:line="252" w:lineRule="auto"/>
        <w:ind w:left="792"/>
      </w:pPr>
      <w:r w:rsidRPr="00402C76">
        <w:t xml:space="preserve">For a </w:t>
      </w:r>
      <w:r w:rsidR="000734ED">
        <w:t>s</w:t>
      </w:r>
      <w:r w:rsidRPr="00402C76">
        <w:t>ection 28 reques</w:t>
      </w:r>
      <w:r w:rsidR="004F1151">
        <w:t xml:space="preserve">t to be approved, </w:t>
      </w:r>
      <w:r w:rsidR="00C604CF">
        <w:t xml:space="preserve">the legislation states that </w:t>
      </w:r>
      <w:r w:rsidR="004F1151">
        <w:t xml:space="preserve">the </w:t>
      </w:r>
      <w:r w:rsidR="00904447">
        <w:t xml:space="preserve">Treasurer must not recommend the allocation to the Governor in Council unless the </w:t>
      </w:r>
      <w:r w:rsidR="00E73619">
        <w:t>Treasurer</w:t>
      </w:r>
      <w:r w:rsidR="004F1151">
        <w:t xml:space="preserve"> </w:t>
      </w:r>
      <w:r w:rsidR="00904447">
        <w:t>is</w:t>
      </w:r>
      <w:r w:rsidRPr="006979A0">
        <w:t xml:space="preserve"> </w:t>
      </w:r>
      <w:r w:rsidR="00904447">
        <w:t>‘</w:t>
      </w:r>
      <w:r w:rsidRPr="006979A0">
        <w:t>satisfied that this allocation is for a prudent and advantageous purpose in the current financial year, and that the benefit will accrue, or conti</w:t>
      </w:r>
      <w:r w:rsidR="004F1151" w:rsidRPr="006979A0">
        <w:t>nue, in the next financial year’</w:t>
      </w:r>
      <w:r w:rsidRPr="006979A0">
        <w:t>.</w:t>
      </w:r>
      <w:r w:rsidRPr="00402C76">
        <w:t xml:space="preserve"> Typically, this may apply to </w:t>
      </w:r>
      <w:r w:rsidR="002D6698">
        <w:t xml:space="preserve">new </w:t>
      </w:r>
      <w:r w:rsidR="00D0689B">
        <w:t xml:space="preserve">capital </w:t>
      </w:r>
      <w:r w:rsidRPr="00402C76">
        <w:t xml:space="preserve">projects </w:t>
      </w:r>
      <w:r w:rsidR="002D6698">
        <w:t xml:space="preserve">or to capital projects </w:t>
      </w:r>
      <w:r w:rsidRPr="00402C76">
        <w:t>which have been brought forward for continuation or completion.</w:t>
      </w:r>
      <w:r w:rsidR="00904447">
        <w:t xml:space="preserve"> A successful justification for expenditure on outputs would be more difficult to sustain.</w:t>
      </w:r>
    </w:p>
    <w:p w14:paraId="44B9A6C5" w14:textId="0F15AE60" w:rsidR="00402C76" w:rsidRDefault="00C604CF" w:rsidP="00402C76">
      <w:pPr>
        <w:spacing w:line="252" w:lineRule="auto"/>
        <w:ind w:left="792"/>
      </w:pPr>
      <w:r>
        <w:t xml:space="preserve">Under </w:t>
      </w:r>
      <w:r w:rsidR="000734ED">
        <w:t>s</w:t>
      </w:r>
      <w:r>
        <w:t>ection 28 a</w:t>
      </w:r>
      <w:r w:rsidR="00402C76" w:rsidRPr="00402C76">
        <w:t xml:space="preserve">n amount issued must not exceed an amount equal to </w:t>
      </w:r>
      <w:r w:rsidR="00CC37A7">
        <w:t>three</w:t>
      </w:r>
      <w:r w:rsidR="00055A6E">
        <w:t xml:space="preserve"> per cent</w:t>
      </w:r>
      <w:r w:rsidR="00402C76" w:rsidRPr="00402C76">
        <w:t xml:space="preserve"> of the </w:t>
      </w:r>
      <w:r w:rsidR="00BD3491">
        <w:t>D</w:t>
      </w:r>
      <w:r w:rsidR="00402C76" w:rsidRPr="00402C76">
        <w:t xml:space="preserve">epartment’s </w:t>
      </w:r>
      <w:r w:rsidR="00D0689B">
        <w:t xml:space="preserve">total (gross) </w:t>
      </w:r>
      <w:r w:rsidR="00402C76" w:rsidRPr="00402C76">
        <w:t>annual appropriation for the year.</w:t>
      </w:r>
      <w:r w:rsidR="002D6698">
        <w:t xml:space="preserve"> The total available for all departments is </w:t>
      </w:r>
      <w:r w:rsidR="00904447">
        <w:t>0.5</w:t>
      </w:r>
      <w:r w:rsidR="00055A6E">
        <w:t xml:space="preserve"> per cent</w:t>
      </w:r>
      <w:r w:rsidR="00904447">
        <w:t xml:space="preserve"> of the total annual appropriation for that year.</w:t>
      </w:r>
    </w:p>
    <w:p w14:paraId="222BA91F" w14:textId="77777777" w:rsidR="00402C76" w:rsidRPr="00402C76" w:rsidRDefault="00402C76" w:rsidP="000B672C">
      <w:pPr>
        <w:pStyle w:val="Heading3indent"/>
      </w:pPr>
      <w:r w:rsidRPr="00402C76">
        <w:t>Reporting</w:t>
      </w:r>
    </w:p>
    <w:p w14:paraId="0003C4DC" w14:textId="6F954BE2" w:rsidR="00402C76" w:rsidRPr="00402C76" w:rsidRDefault="00402C76" w:rsidP="00402C76">
      <w:pPr>
        <w:spacing w:line="252" w:lineRule="auto"/>
        <w:ind w:left="792"/>
      </w:pPr>
      <w:r w:rsidRPr="00402C76">
        <w:t xml:space="preserve">Accountability for use of </w:t>
      </w:r>
      <w:r w:rsidR="00055A6E">
        <w:t>s</w:t>
      </w:r>
      <w:r w:rsidRPr="00402C76">
        <w:t xml:space="preserve">ection 28 is also met through the presentation of a summary amount </w:t>
      </w:r>
      <w:r w:rsidR="00A2569E">
        <w:t xml:space="preserve">in </w:t>
      </w:r>
      <w:r w:rsidRPr="00402C76">
        <w:t xml:space="preserve">the </w:t>
      </w:r>
      <w:r w:rsidR="00A2569E">
        <w:t xml:space="preserve">State’s Annual Financial Report, </w:t>
      </w:r>
      <w:r w:rsidRPr="00402C76">
        <w:t>which is tabled in Parliament after the end of each financial year.</w:t>
      </w:r>
    </w:p>
    <w:p w14:paraId="2BA3E10C" w14:textId="77777777" w:rsidR="00402C76" w:rsidRPr="00402C76" w:rsidRDefault="00402C76" w:rsidP="000B672C">
      <w:pPr>
        <w:pStyle w:val="Heading3indent"/>
      </w:pPr>
      <w:r w:rsidRPr="00402C76">
        <w:t>Application and assessment process</w:t>
      </w:r>
    </w:p>
    <w:p w14:paraId="48FD5AE2" w14:textId="345FE450" w:rsidR="00402C76" w:rsidRPr="00402C76" w:rsidRDefault="00D0689B" w:rsidP="00402C76">
      <w:pPr>
        <w:spacing w:line="252" w:lineRule="auto"/>
        <w:ind w:left="792"/>
      </w:pPr>
      <w:r w:rsidRPr="00D0689B">
        <w:t xml:space="preserve">A minister may apply for budget supplementation from Section </w:t>
      </w:r>
      <w:r>
        <w:t>28</w:t>
      </w:r>
      <w:r w:rsidRPr="00D0689B">
        <w:t xml:space="preserve"> of the FMA by submitting a letter </w:t>
      </w:r>
      <w:r w:rsidR="00904447">
        <w:t xml:space="preserve">of request </w:t>
      </w:r>
      <w:r w:rsidRPr="00D0689B">
        <w:t xml:space="preserve">to the Treasurer. </w:t>
      </w:r>
    </w:p>
    <w:p w14:paraId="3A946961" w14:textId="424A9249" w:rsidR="00402C76" w:rsidRPr="00402C76" w:rsidRDefault="00402C76" w:rsidP="00402C76">
      <w:pPr>
        <w:spacing w:line="252" w:lineRule="auto"/>
        <w:ind w:left="792"/>
      </w:pPr>
      <w:r w:rsidRPr="00402C76">
        <w:t>Each request is assessed by DTF and advice is provided to the Treasurer</w:t>
      </w:r>
      <w:r w:rsidR="00695A2B">
        <w:t>. The Treasurer will</w:t>
      </w:r>
      <w:r w:rsidRPr="00402C76">
        <w:t xml:space="preserve"> determine whether or not to </w:t>
      </w:r>
      <w:r w:rsidR="00904447">
        <w:t xml:space="preserve">recommend the </w:t>
      </w:r>
      <w:r w:rsidRPr="00402C76">
        <w:t>fund</w:t>
      </w:r>
      <w:r w:rsidR="00904447">
        <w:t>ing</w:t>
      </w:r>
      <w:r w:rsidRPr="00402C76">
        <w:t xml:space="preserve"> </w:t>
      </w:r>
      <w:r w:rsidR="00904447">
        <w:t>proposal to the Governor in Council for approval</w:t>
      </w:r>
      <w:r w:rsidRPr="00402C76">
        <w:t>.</w:t>
      </w:r>
    </w:p>
    <w:p w14:paraId="6A9B8527" w14:textId="77777777" w:rsidR="00402C76" w:rsidRPr="00402C76" w:rsidRDefault="00402C76" w:rsidP="000B672C">
      <w:pPr>
        <w:pStyle w:val="Heading3indent"/>
      </w:pPr>
      <w:r w:rsidRPr="00402C76">
        <w:t>Approval notification</w:t>
      </w:r>
    </w:p>
    <w:p w14:paraId="6B501DFB" w14:textId="77777777" w:rsidR="008851E4" w:rsidRPr="00402C76" w:rsidRDefault="008851E4" w:rsidP="008851E4">
      <w:pPr>
        <w:spacing w:line="252" w:lineRule="auto"/>
        <w:ind w:left="792"/>
      </w:pPr>
      <w:r>
        <w:t xml:space="preserve">The Treasurer will provide return correspondence to the minister making the request. </w:t>
      </w:r>
      <w:r w:rsidRPr="00402C76">
        <w:t xml:space="preserve">DTF will </w:t>
      </w:r>
      <w:r>
        <w:t xml:space="preserve">also </w:t>
      </w:r>
      <w:r w:rsidRPr="00402C76">
        <w:t>advise the Department</w:t>
      </w:r>
      <w:r>
        <w:t xml:space="preserve"> on the following if the funding request is approved:</w:t>
      </w:r>
    </w:p>
    <w:p w14:paraId="7B9B06D6" w14:textId="77777777" w:rsidR="00402C76" w:rsidRPr="00402C76" w:rsidRDefault="00402C76" w:rsidP="000F010F">
      <w:pPr>
        <w:pStyle w:val="Listnumindent"/>
      </w:pPr>
      <w:r w:rsidRPr="00402C76">
        <w:t>the source of the funding;</w:t>
      </w:r>
    </w:p>
    <w:p w14:paraId="05624C3D" w14:textId="77777777" w:rsidR="00402C76" w:rsidRPr="00402C76" w:rsidRDefault="00402C76" w:rsidP="000F010F">
      <w:pPr>
        <w:pStyle w:val="Listnumindent"/>
      </w:pPr>
      <w:r w:rsidRPr="00402C76">
        <w:t xml:space="preserve">the revenue limit; and </w:t>
      </w:r>
    </w:p>
    <w:p w14:paraId="27136374" w14:textId="77777777" w:rsidR="00402C76" w:rsidRPr="00402C76" w:rsidRDefault="00402C76" w:rsidP="00402C76">
      <w:pPr>
        <w:pStyle w:val="Listnumindent"/>
      </w:pPr>
      <w:r w:rsidRPr="00402C76">
        <w:t>adjusted output and financial perf</w:t>
      </w:r>
      <w:r w:rsidR="00C604CF">
        <w:t xml:space="preserve">ormance targets (if relevant). </w:t>
      </w:r>
    </w:p>
    <w:p w14:paraId="2DDB21D3" w14:textId="77777777" w:rsidR="00402C76" w:rsidRPr="00402C76" w:rsidRDefault="00402C76" w:rsidP="00402C76">
      <w:pPr>
        <w:spacing w:before="0" w:after="200"/>
      </w:pPr>
      <w:r w:rsidRPr="00402C76">
        <w:br w:type="page"/>
      </w:r>
    </w:p>
    <w:p w14:paraId="4AAD5679" w14:textId="7ED9FCA5" w:rsidR="00D636BA" w:rsidRDefault="00D636BA" w:rsidP="00D636BA">
      <w:pPr>
        <w:pStyle w:val="Heading2numbered"/>
      </w:pPr>
      <w:bookmarkStart w:id="60" w:name="_Toc457812117"/>
      <w:bookmarkStart w:id="61" w:name="_Toc457812319"/>
      <w:bookmarkStart w:id="62" w:name="_Toc457816845"/>
      <w:bookmarkStart w:id="63" w:name="_Toc457817125"/>
      <w:bookmarkStart w:id="64" w:name="_Toc457817338"/>
      <w:bookmarkStart w:id="65" w:name="_Toc457812119"/>
      <w:bookmarkStart w:id="66" w:name="_Toc457812321"/>
      <w:bookmarkStart w:id="67" w:name="_Toc457816847"/>
      <w:bookmarkStart w:id="68" w:name="_Toc457817127"/>
      <w:bookmarkStart w:id="69" w:name="_Toc457817340"/>
      <w:bookmarkStart w:id="70" w:name="_Toc457812121"/>
      <w:bookmarkStart w:id="71" w:name="_Toc457812323"/>
      <w:bookmarkStart w:id="72" w:name="_Toc457816849"/>
      <w:bookmarkStart w:id="73" w:name="_Toc457817129"/>
      <w:bookmarkStart w:id="74" w:name="_Toc457817342"/>
      <w:bookmarkStart w:id="75" w:name="_Toc457812122"/>
      <w:bookmarkStart w:id="76" w:name="_Toc457812324"/>
      <w:bookmarkStart w:id="77" w:name="_Toc457816850"/>
      <w:bookmarkStart w:id="78" w:name="_Toc457817130"/>
      <w:bookmarkStart w:id="79" w:name="_Toc457817343"/>
      <w:bookmarkStart w:id="80" w:name="_Toc457812123"/>
      <w:bookmarkStart w:id="81" w:name="_Toc457812325"/>
      <w:bookmarkStart w:id="82" w:name="_Toc457816851"/>
      <w:bookmarkStart w:id="83" w:name="_Toc457817131"/>
      <w:bookmarkStart w:id="84" w:name="_Toc457817344"/>
      <w:bookmarkStart w:id="85" w:name="_Toc457812124"/>
      <w:bookmarkStart w:id="86" w:name="_Toc457812326"/>
      <w:bookmarkStart w:id="87" w:name="_Toc457816852"/>
      <w:bookmarkStart w:id="88" w:name="_Toc457817132"/>
      <w:bookmarkStart w:id="89" w:name="_Toc457817345"/>
      <w:bookmarkStart w:id="90" w:name="_Toc457812133"/>
      <w:bookmarkStart w:id="91" w:name="_Toc457812335"/>
      <w:bookmarkStart w:id="92" w:name="_Toc457816861"/>
      <w:bookmarkStart w:id="93" w:name="_Toc457817141"/>
      <w:bookmarkStart w:id="94" w:name="_Toc457817354"/>
      <w:bookmarkStart w:id="95" w:name="_Toc457812134"/>
      <w:bookmarkStart w:id="96" w:name="_Toc457812336"/>
      <w:bookmarkStart w:id="97" w:name="_Toc457816862"/>
      <w:bookmarkStart w:id="98" w:name="_Toc457817142"/>
      <w:bookmarkStart w:id="99" w:name="_Toc457817355"/>
      <w:bookmarkStart w:id="100" w:name="_Toc457812139"/>
      <w:bookmarkStart w:id="101" w:name="_Toc457812341"/>
      <w:bookmarkStart w:id="102" w:name="_Toc457816867"/>
      <w:bookmarkStart w:id="103" w:name="_Toc457817147"/>
      <w:bookmarkStart w:id="104" w:name="_Toc457817360"/>
      <w:bookmarkStart w:id="105" w:name="_Toc457812140"/>
      <w:bookmarkStart w:id="106" w:name="_Toc457812342"/>
      <w:bookmarkStart w:id="107" w:name="_Toc457816868"/>
      <w:bookmarkStart w:id="108" w:name="_Toc457817148"/>
      <w:bookmarkStart w:id="109" w:name="_Toc457817361"/>
      <w:bookmarkStart w:id="110" w:name="_Toc457812141"/>
      <w:bookmarkStart w:id="111" w:name="_Toc457812343"/>
      <w:bookmarkStart w:id="112" w:name="_Toc457816869"/>
      <w:bookmarkStart w:id="113" w:name="_Toc457817149"/>
      <w:bookmarkStart w:id="114" w:name="_Toc457817362"/>
      <w:bookmarkStart w:id="115" w:name="_Toc457812143"/>
      <w:bookmarkStart w:id="116" w:name="_Toc457812345"/>
      <w:bookmarkStart w:id="117" w:name="_Toc457816871"/>
      <w:bookmarkStart w:id="118" w:name="_Toc457817151"/>
      <w:bookmarkStart w:id="119" w:name="_Toc457817364"/>
      <w:bookmarkStart w:id="120" w:name="_Toc457812152"/>
      <w:bookmarkStart w:id="121" w:name="_Toc457812354"/>
      <w:bookmarkStart w:id="122" w:name="_Toc457816880"/>
      <w:bookmarkStart w:id="123" w:name="_Toc457817160"/>
      <w:bookmarkStart w:id="124" w:name="_Toc457817373"/>
      <w:bookmarkStart w:id="125" w:name="_Toc457812156"/>
      <w:bookmarkStart w:id="126" w:name="_Toc457812358"/>
      <w:bookmarkStart w:id="127" w:name="_Toc457816884"/>
      <w:bookmarkStart w:id="128" w:name="_Toc457817164"/>
      <w:bookmarkStart w:id="129" w:name="_Toc457817377"/>
      <w:bookmarkStart w:id="130" w:name="_Toc457812159"/>
      <w:bookmarkStart w:id="131" w:name="_Toc457812361"/>
      <w:bookmarkStart w:id="132" w:name="_Toc457816887"/>
      <w:bookmarkStart w:id="133" w:name="_Toc457817167"/>
      <w:bookmarkStart w:id="134" w:name="_Toc457817380"/>
      <w:bookmarkStart w:id="135" w:name="_Toc457812162"/>
      <w:bookmarkStart w:id="136" w:name="_Toc457812364"/>
      <w:bookmarkStart w:id="137" w:name="_Toc457816890"/>
      <w:bookmarkStart w:id="138" w:name="_Toc457817170"/>
      <w:bookmarkStart w:id="139" w:name="_Toc457817383"/>
      <w:bookmarkStart w:id="140" w:name="_Toc457812167"/>
      <w:bookmarkStart w:id="141" w:name="_Toc457812369"/>
      <w:bookmarkStart w:id="142" w:name="_Toc457816895"/>
      <w:bookmarkStart w:id="143" w:name="_Toc457817175"/>
      <w:bookmarkStart w:id="144" w:name="_Toc457817388"/>
      <w:bookmarkStart w:id="145" w:name="_Toc457812170"/>
      <w:bookmarkStart w:id="146" w:name="_Toc457812372"/>
      <w:bookmarkStart w:id="147" w:name="_Toc457816898"/>
      <w:bookmarkStart w:id="148" w:name="_Toc457817178"/>
      <w:bookmarkStart w:id="149" w:name="_Toc457817391"/>
      <w:bookmarkStart w:id="150" w:name="_Toc457812172"/>
      <w:bookmarkStart w:id="151" w:name="_Toc457812374"/>
      <w:bookmarkStart w:id="152" w:name="_Toc457816900"/>
      <w:bookmarkStart w:id="153" w:name="_Toc457817180"/>
      <w:bookmarkStart w:id="154" w:name="_Toc457817393"/>
      <w:bookmarkStart w:id="155" w:name="_Toc457812177"/>
      <w:bookmarkStart w:id="156" w:name="_Toc457812379"/>
      <w:bookmarkStart w:id="157" w:name="_Toc457816905"/>
      <w:bookmarkStart w:id="158" w:name="_Toc457817185"/>
      <w:bookmarkStart w:id="159" w:name="_Toc457817398"/>
      <w:bookmarkStart w:id="160" w:name="_Toc457812183"/>
      <w:bookmarkStart w:id="161" w:name="_Toc457812385"/>
      <w:bookmarkStart w:id="162" w:name="_Toc457816911"/>
      <w:bookmarkStart w:id="163" w:name="_Toc457817191"/>
      <w:bookmarkStart w:id="164" w:name="_Toc457817404"/>
      <w:bookmarkStart w:id="165" w:name="_Toc457812185"/>
      <w:bookmarkStart w:id="166" w:name="_Toc457812387"/>
      <w:bookmarkStart w:id="167" w:name="_Toc457816913"/>
      <w:bookmarkStart w:id="168" w:name="_Toc457817193"/>
      <w:bookmarkStart w:id="169" w:name="_Toc457817406"/>
      <w:bookmarkStart w:id="170" w:name="_Toc457812188"/>
      <w:bookmarkStart w:id="171" w:name="_Toc457812390"/>
      <w:bookmarkStart w:id="172" w:name="_Toc457816916"/>
      <w:bookmarkStart w:id="173" w:name="_Toc457817196"/>
      <w:bookmarkStart w:id="174" w:name="_Toc457817409"/>
      <w:bookmarkStart w:id="175" w:name="_Toc457812190"/>
      <w:bookmarkStart w:id="176" w:name="_Toc457812392"/>
      <w:bookmarkStart w:id="177" w:name="_Toc457816918"/>
      <w:bookmarkStart w:id="178" w:name="_Toc457817198"/>
      <w:bookmarkStart w:id="179" w:name="_Toc457817411"/>
      <w:bookmarkStart w:id="180" w:name="_Toc457812191"/>
      <w:bookmarkStart w:id="181" w:name="_Toc457812393"/>
      <w:bookmarkStart w:id="182" w:name="_Toc457816919"/>
      <w:bookmarkStart w:id="183" w:name="_Toc457817199"/>
      <w:bookmarkStart w:id="184" w:name="_Toc457817412"/>
      <w:bookmarkStart w:id="185" w:name="_Toc457812192"/>
      <w:bookmarkStart w:id="186" w:name="_Toc457812394"/>
      <w:bookmarkStart w:id="187" w:name="_Toc457816920"/>
      <w:bookmarkStart w:id="188" w:name="_Toc457817200"/>
      <w:bookmarkStart w:id="189" w:name="_Toc457817413"/>
      <w:bookmarkStart w:id="190" w:name="_Toc457812193"/>
      <w:bookmarkStart w:id="191" w:name="_Toc457812395"/>
      <w:bookmarkStart w:id="192" w:name="_Toc457816921"/>
      <w:bookmarkStart w:id="193" w:name="_Toc457817201"/>
      <w:bookmarkStart w:id="194" w:name="_Toc457817414"/>
      <w:bookmarkStart w:id="195" w:name="_Toc457812194"/>
      <w:bookmarkStart w:id="196" w:name="_Toc457812396"/>
      <w:bookmarkStart w:id="197" w:name="_Toc457816922"/>
      <w:bookmarkStart w:id="198" w:name="_Toc457817202"/>
      <w:bookmarkStart w:id="199" w:name="_Toc457817415"/>
      <w:bookmarkStart w:id="200" w:name="_Toc457812196"/>
      <w:bookmarkStart w:id="201" w:name="_Toc457812398"/>
      <w:bookmarkStart w:id="202" w:name="_Toc457816924"/>
      <w:bookmarkStart w:id="203" w:name="_Toc457817204"/>
      <w:bookmarkStart w:id="204" w:name="_Toc457817417"/>
      <w:bookmarkStart w:id="205" w:name="_Toc457812198"/>
      <w:bookmarkStart w:id="206" w:name="_Toc457812400"/>
      <w:bookmarkStart w:id="207" w:name="_Toc457816926"/>
      <w:bookmarkStart w:id="208" w:name="_Toc457817206"/>
      <w:bookmarkStart w:id="209" w:name="_Toc457817419"/>
      <w:bookmarkStart w:id="210" w:name="_Toc419906803"/>
      <w:bookmarkStart w:id="211" w:name="_Toc421026706"/>
      <w:bookmarkStart w:id="212" w:name="_Toc422321099"/>
      <w:bookmarkStart w:id="213" w:name="_Toc422321814"/>
      <w:bookmarkStart w:id="214" w:name="_Toc422321907"/>
      <w:bookmarkStart w:id="215" w:name="_Toc422734262"/>
      <w:bookmarkStart w:id="216" w:name="_Toc422750102"/>
      <w:bookmarkStart w:id="217" w:name="_Toc422750196"/>
      <w:bookmarkStart w:id="218" w:name="_Toc422753139"/>
      <w:bookmarkStart w:id="219" w:name="_Toc423509703"/>
      <w:bookmarkStart w:id="220" w:name="_Toc423509908"/>
      <w:bookmarkStart w:id="221" w:name="_Toc423510008"/>
      <w:bookmarkStart w:id="222" w:name="_Toc423510106"/>
      <w:bookmarkStart w:id="223" w:name="_Toc423510202"/>
      <w:bookmarkStart w:id="224" w:name="_Toc423510298"/>
      <w:bookmarkStart w:id="225" w:name="_Toc423510394"/>
      <w:bookmarkStart w:id="226" w:name="_Toc423510489"/>
      <w:bookmarkStart w:id="227" w:name="_Toc423510584"/>
      <w:bookmarkStart w:id="228" w:name="_Toc423510679"/>
      <w:bookmarkStart w:id="229" w:name="_Toc386466566"/>
      <w:bookmarkStart w:id="230" w:name="_Toc386466668"/>
      <w:bookmarkStart w:id="231" w:name="_Toc386466741"/>
      <w:bookmarkStart w:id="232" w:name="_Toc386468105"/>
      <w:bookmarkStart w:id="233" w:name="_Toc386613116"/>
      <w:bookmarkStart w:id="234" w:name="_Toc386614840"/>
      <w:bookmarkStart w:id="235" w:name="_Toc386615336"/>
      <w:bookmarkStart w:id="236" w:name="_Toc386615472"/>
      <w:bookmarkStart w:id="237" w:name="_Toc386723284"/>
      <w:bookmarkStart w:id="238" w:name="_Toc386723358"/>
      <w:bookmarkStart w:id="239" w:name="_Toc388436922"/>
      <w:bookmarkStart w:id="240" w:name="_Toc389551799"/>
      <w:bookmarkStart w:id="241" w:name="_Toc348089670"/>
      <w:bookmarkStart w:id="242" w:name="_Toc348089900"/>
      <w:bookmarkStart w:id="243" w:name="_Toc348351548"/>
      <w:bookmarkStart w:id="244" w:name="_Toc348608043"/>
      <w:bookmarkStart w:id="245" w:name="_Toc348614206"/>
      <w:bookmarkStart w:id="246" w:name="_Toc332377431"/>
      <w:bookmarkStart w:id="247" w:name="_Toc332381815"/>
      <w:bookmarkStart w:id="248" w:name="_Toc332382647"/>
      <w:bookmarkStart w:id="249" w:name="_Toc332711434"/>
      <w:bookmarkStart w:id="250" w:name="_Toc332377432"/>
      <w:bookmarkStart w:id="251" w:name="_Toc332381816"/>
      <w:bookmarkStart w:id="252" w:name="_Toc332382648"/>
      <w:bookmarkStart w:id="253" w:name="_Toc332711435"/>
      <w:bookmarkStart w:id="254" w:name="_Toc332377433"/>
      <w:bookmarkStart w:id="255" w:name="_Toc332381817"/>
      <w:bookmarkStart w:id="256" w:name="_Toc332382649"/>
      <w:bookmarkStart w:id="257" w:name="_Toc332711436"/>
      <w:bookmarkStart w:id="258" w:name="_Toc332377434"/>
      <w:bookmarkStart w:id="259" w:name="_Toc332381818"/>
      <w:bookmarkStart w:id="260" w:name="_Toc332382650"/>
      <w:bookmarkStart w:id="261" w:name="_Toc332711437"/>
      <w:bookmarkStart w:id="262" w:name="_Toc332377435"/>
      <w:bookmarkStart w:id="263" w:name="_Toc332381819"/>
      <w:bookmarkStart w:id="264" w:name="_Toc332382651"/>
      <w:bookmarkStart w:id="265" w:name="_Toc332711438"/>
      <w:bookmarkStart w:id="266" w:name="_Toc332377436"/>
      <w:bookmarkStart w:id="267" w:name="_Toc332381820"/>
      <w:bookmarkStart w:id="268" w:name="_Toc332382652"/>
      <w:bookmarkStart w:id="269" w:name="_Toc332711439"/>
      <w:bookmarkStart w:id="270" w:name="_Toc332377437"/>
      <w:bookmarkStart w:id="271" w:name="_Toc332381821"/>
      <w:bookmarkStart w:id="272" w:name="_Toc332382653"/>
      <w:bookmarkStart w:id="273" w:name="_Toc332711440"/>
      <w:bookmarkStart w:id="274" w:name="_Toc332377438"/>
      <w:bookmarkStart w:id="275" w:name="_Toc332381822"/>
      <w:bookmarkStart w:id="276" w:name="_Toc332382654"/>
      <w:bookmarkStart w:id="277" w:name="_Toc332711441"/>
      <w:bookmarkStart w:id="278" w:name="_Toc332377439"/>
      <w:bookmarkStart w:id="279" w:name="_Toc332381823"/>
      <w:bookmarkStart w:id="280" w:name="_Toc332382655"/>
      <w:bookmarkStart w:id="281" w:name="_Toc332711442"/>
      <w:bookmarkStart w:id="282" w:name="_Toc332377440"/>
      <w:bookmarkStart w:id="283" w:name="_Toc332381824"/>
      <w:bookmarkStart w:id="284" w:name="_Toc332382656"/>
      <w:bookmarkStart w:id="285" w:name="_Toc332711443"/>
      <w:bookmarkStart w:id="286" w:name="_Toc332377441"/>
      <w:bookmarkStart w:id="287" w:name="_Toc332381825"/>
      <w:bookmarkStart w:id="288" w:name="_Toc332382657"/>
      <w:bookmarkStart w:id="289" w:name="_Toc332711444"/>
      <w:bookmarkStart w:id="290" w:name="_Toc332377442"/>
      <w:bookmarkStart w:id="291" w:name="_Toc332381826"/>
      <w:bookmarkStart w:id="292" w:name="_Toc332382658"/>
      <w:bookmarkStart w:id="293" w:name="_Toc332711445"/>
      <w:bookmarkStart w:id="294" w:name="_Toc332377443"/>
      <w:bookmarkStart w:id="295" w:name="_Toc332381827"/>
      <w:bookmarkStart w:id="296" w:name="_Toc332382659"/>
      <w:bookmarkStart w:id="297" w:name="_Toc332711446"/>
      <w:bookmarkStart w:id="298" w:name="_Toc332377444"/>
      <w:bookmarkStart w:id="299" w:name="_Toc332381828"/>
      <w:bookmarkStart w:id="300" w:name="_Toc332382660"/>
      <w:bookmarkStart w:id="301" w:name="_Toc332711447"/>
      <w:bookmarkStart w:id="302" w:name="_Toc332377445"/>
      <w:bookmarkStart w:id="303" w:name="_Toc332381829"/>
      <w:bookmarkStart w:id="304" w:name="_Toc332382661"/>
      <w:bookmarkStart w:id="305" w:name="_Toc332711448"/>
      <w:bookmarkStart w:id="306" w:name="_Toc341454633"/>
      <w:bookmarkStart w:id="307" w:name="_Toc476658105"/>
      <w:bookmarkStart w:id="308" w:name="_Toc445459724"/>
      <w:bookmarkEnd w:id="40"/>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lastRenderedPageBreak/>
        <w:t xml:space="preserve">Transfers between items of Departmental appropriation – </w:t>
      </w:r>
      <w:r w:rsidR="0011304F">
        <w:t>s</w:t>
      </w:r>
      <w:r>
        <w:t>ection 30 of the FMA</w:t>
      </w:r>
      <w:bookmarkEnd w:id="307"/>
    </w:p>
    <w:tbl>
      <w:tblPr>
        <w:tblStyle w:val="Mandatory"/>
        <w:tblW w:w="7483" w:type="dxa"/>
        <w:tblLook w:val="0620" w:firstRow="1" w:lastRow="0" w:firstColumn="0" w:lastColumn="0" w:noHBand="1" w:noVBand="1"/>
      </w:tblPr>
      <w:tblGrid>
        <w:gridCol w:w="7483"/>
      </w:tblGrid>
      <w:tr w:rsidR="00D636BA" w:rsidRPr="00373BB7" w14:paraId="50E69411" w14:textId="77777777" w:rsidTr="00E0637B">
        <w:trPr>
          <w:cnfStyle w:val="100000000000" w:firstRow="1" w:lastRow="0" w:firstColumn="0" w:lastColumn="0" w:oddVBand="0" w:evenVBand="0" w:oddHBand="0" w:evenHBand="0" w:firstRowFirstColumn="0" w:firstRowLastColumn="0" w:lastRowFirstColumn="0" w:lastRowLastColumn="0"/>
        </w:trPr>
        <w:tc>
          <w:tcPr>
            <w:tcW w:w="7483" w:type="dxa"/>
          </w:tcPr>
          <w:p w14:paraId="76DB29FC" w14:textId="7111F067" w:rsidR="00D636BA" w:rsidRPr="00E97BC8" w:rsidRDefault="00D636BA" w:rsidP="00E0637B">
            <w:pPr>
              <w:spacing w:before="120" w:after="60"/>
              <w:rPr>
                <w:sz w:val="20"/>
              </w:rPr>
            </w:pPr>
            <w:r w:rsidRPr="00E97BC8">
              <w:rPr>
                <w:sz w:val="20"/>
              </w:rPr>
              <w:t>Mandatory requirements</w:t>
            </w:r>
            <w:r w:rsidRPr="00E97BC8">
              <w:rPr>
                <w:sz w:val="20"/>
              </w:rPr>
              <w:br/>
              <w:t>TRANSFERS BETWEEN ITEMS OF DEPARTMENTAL APPROPRIATION (S</w:t>
            </w:r>
            <w:r w:rsidR="00D45689" w:rsidRPr="00E97BC8">
              <w:rPr>
                <w:sz w:val="20"/>
              </w:rPr>
              <w:t>ECTION</w:t>
            </w:r>
            <w:r w:rsidRPr="00E97BC8">
              <w:rPr>
                <w:sz w:val="20"/>
              </w:rPr>
              <w:t xml:space="preserve"> 30 </w:t>
            </w:r>
            <w:r w:rsidR="00D45689" w:rsidRPr="00E97BC8">
              <w:rPr>
                <w:sz w:val="20"/>
              </w:rPr>
              <w:t xml:space="preserve">OF THE </w:t>
            </w:r>
            <w:r w:rsidRPr="00E97BC8">
              <w:rPr>
                <w:sz w:val="20"/>
              </w:rPr>
              <w:t>FMA)</w:t>
            </w:r>
          </w:p>
        </w:tc>
      </w:tr>
      <w:tr w:rsidR="00D636BA" w:rsidRPr="00373BB7" w14:paraId="429E248A" w14:textId="77777777" w:rsidTr="00E0637B">
        <w:trPr>
          <w:trHeight w:val="589"/>
        </w:trPr>
        <w:tc>
          <w:tcPr>
            <w:tcW w:w="7483" w:type="dxa"/>
          </w:tcPr>
          <w:p w14:paraId="38CB4331" w14:textId="58409188" w:rsidR="00D636BA" w:rsidRPr="00373BB7" w:rsidRDefault="00D636BA" w:rsidP="00DA412B">
            <w:pPr>
              <w:pStyle w:val="Heading3numbered"/>
              <w:numPr>
                <w:ilvl w:val="4"/>
                <w:numId w:val="38"/>
              </w:numPr>
            </w:pPr>
            <w:bookmarkStart w:id="309" w:name="_Toc476658106"/>
            <w:r w:rsidRPr="00373BB7">
              <w:t xml:space="preserve">Process and requirements for </w:t>
            </w:r>
            <w:r w:rsidR="0011304F">
              <w:t>s</w:t>
            </w:r>
            <w:r>
              <w:t>ection 30 appropriation transfers</w:t>
            </w:r>
            <w:bookmarkEnd w:id="309"/>
          </w:p>
          <w:p w14:paraId="68DD81AB" w14:textId="0D586025" w:rsidR="00D636BA" w:rsidRDefault="00E73619" w:rsidP="00E0637B">
            <w:pPr>
              <w:spacing w:before="100"/>
              <w:ind w:left="792"/>
            </w:pPr>
            <w:r w:rsidRPr="00E73619">
              <w:t xml:space="preserve">In preparing a letter from a Minister to the Treasurer seeking </w:t>
            </w:r>
            <w:r>
              <w:t xml:space="preserve">agreement to transfer amounts between its own appropriation items under </w:t>
            </w:r>
            <w:r w:rsidR="00B64A1C">
              <w:t>s</w:t>
            </w:r>
            <w:r w:rsidRPr="00373BB7">
              <w:t>ection 3</w:t>
            </w:r>
            <w:r>
              <w:t>0</w:t>
            </w:r>
            <w:r w:rsidRPr="00373BB7">
              <w:t xml:space="preserve"> of the FMA</w:t>
            </w:r>
            <w:r w:rsidRPr="00E73619">
              <w:t>, a Department must ensure the letter includes:</w:t>
            </w:r>
          </w:p>
          <w:p w14:paraId="14C47948" w14:textId="77777777" w:rsidR="00D636BA" w:rsidRDefault="00D636BA" w:rsidP="00E0637B">
            <w:pPr>
              <w:pStyle w:val="Listnumindent"/>
            </w:pPr>
            <w:r>
              <w:t>the reasons for the request;</w:t>
            </w:r>
          </w:p>
          <w:p w14:paraId="506D71CF" w14:textId="77777777" w:rsidR="00D636BA" w:rsidRDefault="00D636BA" w:rsidP="00E0637B">
            <w:pPr>
              <w:pStyle w:val="Listnumindent"/>
            </w:pPr>
            <w:r>
              <w:t>the quantum of the variation sought;</w:t>
            </w:r>
          </w:p>
          <w:p w14:paraId="11B3E3F3" w14:textId="77777777" w:rsidR="00D636BA" w:rsidRPr="002C566B" w:rsidRDefault="00D636BA" w:rsidP="00E0637B">
            <w:pPr>
              <w:pStyle w:val="Listnumindent"/>
            </w:pPr>
            <w:r w:rsidRPr="002C566B">
              <w:t>that there are no other sources</w:t>
            </w:r>
            <w:r>
              <w:t xml:space="preserve"> or mechanisms</w:t>
            </w:r>
            <w:r w:rsidRPr="002C566B">
              <w:t xml:space="preserve"> available;</w:t>
            </w:r>
          </w:p>
          <w:p w14:paraId="3D3C9B46" w14:textId="77777777" w:rsidR="00D636BA" w:rsidRDefault="00D636BA" w:rsidP="00E0637B">
            <w:pPr>
              <w:pStyle w:val="Listnumindent"/>
            </w:pPr>
            <w:r>
              <w:t>how the request aligns with Government objectives;</w:t>
            </w:r>
          </w:p>
          <w:p w14:paraId="591D9688" w14:textId="77777777" w:rsidR="00D636BA" w:rsidRDefault="00D636BA" w:rsidP="00E0637B">
            <w:pPr>
              <w:pStyle w:val="Listnumindent"/>
            </w:pPr>
            <w:r>
              <w:t>any proposed adjustments to output and financial performance targets arising from the request; and</w:t>
            </w:r>
          </w:p>
          <w:p w14:paraId="5F24D1E5" w14:textId="126D157B" w:rsidR="00D636BA" w:rsidRDefault="00D636BA" w:rsidP="00E0637B">
            <w:pPr>
              <w:pStyle w:val="Listnumindent"/>
            </w:pPr>
            <w:r>
              <w:t xml:space="preserve">any other variations previously approved by the Treasurer or the relevant Cabinet </w:t>
            </w:r>
            <w:r w:rsidR="00B64A1C">
              <w:t>c</w:t>
            </w:r>
            <w:r>
              <w:t>ommittee for the programs affected.</w:t>
            </w:r>
          </w:p>
          <w:p w14:paraId="22952D03" w14:textId="7DDDBF56" w:rsidR="00D636BA" w:rsidRPr="00373BB7" w:rsidRDefault="00D636BA" w:rsidP="00E0637B">
            <w:pPr>
              <w:pStyle w:val="Heading3numbered"/>
            </w:pPr>
            <w:bookmarkStart w:id="310" w:name="_Toc476658107"/>
            <w:r w:rsidRPr="00373BB7">
              <w:t xml:space="preserve">Reporting on </w:t>
            </w:r>
            <w:r w:rsidR="00B64A1C">
              <w:t>s</w:t>
            </w:r>
            <w:r w:rsidRPr="00373BB7">
              <w:t>ection 3</w:t>
            </w:r>
            <w:r>
              <w:t>0</w:t>
            </w:r>
            <w:r w:rsidRPr="00373BB7">
              <w:t xml:space="preserve"> FMA expenditure</w:t>
            </w:r>
            <w:bookmarkEnd w:id="310"/>
          </w:p>
          <w:p w14:paraId="4FEC985E" w14:textId="5297F4B7" w:rsidR="00D636BA" w:rsidRPr="00373BB7" w:rsidRDefault="00D636BA" w:rsidP="00B64A1C">
            <w:pPr>
              <w:spacing w:before="100"/>
              <w:ind w:left="792"/>
            </w:pPr>
            <w:r w:rsidRPr="00373BB7">
              <w:t xml:space="preserve">All expenses and obligations to which any </w:t>
            </w:r>
            <w:r w:rsidR="00B64A1C">
              <w:t>s</w:t>
            </w:r>
            <w:r w:rsidRPr="00373BB7">
              <w:t>ection 3</w:t>
            </w:r>
            <w:r>
              <w:t>0</w:t>
            </w:r>
            <w:r w:rsidRPr="00373BB7">
              <w:t xml:space="preserve"> </w:t>
            </w:r>
            <w:r>
              <w:t>transfer</w:t>
            </w:r>
            <w:r w:rsidRPr="00373BB7">
              <w:t xml:space="preserve"> is applied must be reported in the financial year in which the </w:t>
            </w:r>
            <w:r>
              <w:t>transfer was made.</w:t>
            </w:r>
          </w:p>
        </w:tc>
      </w:tr>
    </w:tbl>
    <w:p w14:paraId="47ECAC88" w14:textId="77777777" w:rsidR="00D636BA" w:rsidRPr="00862803" w:rsidRDefault="00D636BA" w:rsidP="00056F4E">
      <w:pPr>
        <w:pStyle w:val="Heading2indent"/>
      </w:pPr>
      <w:r w:rsidRPr="00862803">
        <w:t>Guidance</w:t>
      </w:r>
    </w:p>
    <w:p w14:paraId="5DA3B48C" w14:textId="77777777" w:rsidR="00D636BA" w:rsidRPr="00402C76" w:rsidRDefault="00D636BA" w:rsidP="000B672C">
      <w:pPr>
        <w:pStyle w:val="Heading3indent"/>
      </w:pPr>
      <w:r w:rsidRPr="00402C76">
        <w:t>Definition</w:t>
      </w:r>
    </w:p>
    <w:p w14:paraId="6C524236" w14:textId="7E6311CD" w:rsidR="00D636BA" w:rsidRDefault="00D636BA" w:rsidP="00D636BA">
      <w:pPr>
        <w:spacing w:line="252" w:lineRule="auto"/>
        <w:ind w:left="792"/>
      </w:pPr>
      <w:r>
        <w:t>Section 30</w:t>
      </w:r>
      <w:r w:rsidRPr="00402C76">
        <w:t xml:space="preserve"> of the FMA enables </w:t>
      </w:r>
      <w:r>
        <w:t xml:space="preserve">a </w:t>
      </w:r>
      <w:r w:rsidR="00B64A1C">
        <w:t>M</w:t>
      </w:r>
      <w:r>
        <w:t xml:space="preserve">inister, with consent from the Treasurer, to transfer an amount from one </w:t>
      </w:r>
      <w:r w:rsidRPr="00402C76">
        <w:t>appropriation</w:t>
      </w:r>
      <w:r>
        <w:t xml:space="preserve"> </w:t>
      </w:r>
      <w:r w:rsidR="001B4A9F">
        <w:t xml:space="preserve">item </w:t>
      </w:r>
      <w:r>
        <w:t>to another</w:t>
      </w:r>
      <w:r w:rsidRPr="00402C76">
        <w:t xml:space="preserve"> </w:t>
      </w:r>
      <w:r>
        <w:t>in the current year, up to the limit appropriated in that year.</w:t>
      </w:r>
      <w:r w:rsidRPr="00402C76">
        <w:t xml:space="preserve"> </w:t>
      </w:r>
    </w:p>
    <w:p w14:paraId="468F18C5" w14:textId="10A8CC57" w:rsidR="00320842" w:rsidRPr="00402C76" w:rsidRDefault="00320842" w:rsidP="00D636BA">
      <w:pPr>
        <w:spacing w:line="252" w:lineRule="auto"/>
        <w:ind w:left="792"/>
      </w:pPr>
      <w:r>
        <w:t xml:space="preserve">Warrant is </w:t>
      </w:r>
      <w:r w:rsidRPr="003D272A">
        <w:rPr>
          <w:b/>
        </w:rPr>
        <w:t>not</w:t>
      </w:r>
      <w:r>
        <w:t xml:space="preserve"> required for a section 30 request.</w:t>
      </w:r>
    </w:p>
    <w:p w14:paraId="2AC30C47" w14:textId="77777777" w:rsidR="00D636BA" w:rsidRPr="00402C76" w:rsidRDefault="00D636BA" w:rsidP="000B672C">
      <w:pPr>
        <w:pStyle w:val="Heading3indent"/>
      </w:pPr>
      <w:r w:rsidRPr="00402C76">
        <w:t>Conditions</w:t>
      </w:r>
    </w:p>
    <w:p w14:paraId="17BAC09C" w14:textId="39AEDC89" w:rsidR="00D636BA" w:rsidRDefault="00D636BA" w:rsidP="00D636BA">
      <w:pPr>
        <w:spacing w:line="252" w:lineRule="auto"/>
        <w:ind w:left="792"/>
      </w:pPr>
      <w:r w:rsidRPr="00402C76">
        <w:t xml:space="preserve">For a </w:t>
      </w:r>
      <w:r w:rsidR="00B64A1C">
        <w:t>s</w:t>
      </w:r>
      <w:r w:rsidRPr="00402C76">
        <w:t xml:space="preserve">ection </w:t>
      </w:r>
      <w:r>
        <w:t>30</w:t>
      </w:r>
      <w:r w:rsidRPr="00402C76">
        <w:t xml:space="preserve"> reques</w:t>
      </w:r>
      <w:r>
        <w:t>t to be approved, the relevant Minister</w:t>
      </w:r>
      <w:r w:rsidR="00695A2B">
        <w:t xml:space="preserve"> must</w:t>
      </w:r>
      <w:r>
        <w:t xml:space="preserve"> demonstrate:</w:t>
      </w:r>
    </w:p>
    <w:p w14:paraId="727BD8B7" w14:textId="77777777" w:rsidR="00D636BA" w:rsidRDefault="00695A2B" w:rsidP="00DA412B">
      <w:pPr>
        <w:pStyle w:val="Bullet1"/>
        <w:numPr>
          <w:ilvl w:val="0"/>
          <w:numId w:val="58"/>
        </w:numPr>
      </w:pPr>
      <w:r>
        <w:t xml:space="preserve">that </w:t>
      </w:r>
      <w:r w:rsidR="00D636BA">
        <w:t>the appropriation being transferred is no longer required for its original purpose for which it was appropriated, and</w:t>
      </w:r>
    </w:p>
    <w:p w14:paraId="1435DF97" w14:textId="4DCF42C2" w:rsidR="00D636BA" w:rsidRDefault="00CC37A7" w:rsidP="00DA412B">
      <w:pPr>
        <w:pStyle w:val="Bullet1"/>
        <w:numPr>
          <w:ilvl w:val="0"/>
          <w:numId w:val="58"/>
        </w:numPr>
      </w:pPr>
      <w:r>
        <w:t xml:space="preserve">that </w:t>
      </w:r>
      <w:r w:rsidR="00D636BA">
        <w:t xml:space="preserve">there </w:t>
      </w:r>
      <w:r>
        <w:t>are</w:t>
      </w:r>
      <w:r w:rsidR="00D636BA">
        <w:t xml:space="preserve"> insufficient funds available in the appropriation </w:t>
      </w:r>
      <w:r>
        <w:t xml:space="preserve">(where the funds are being transferred into) </w:t>
      </w:r>
      <w:r w:rsidR="00B64A1C">
        <w:t>to</w:t>
      </w:r>
      <w:r w:rsidR="00D636BA">
        <w:t xml:space="preserve"> fund the initiative/project.</w:t>
      </w:r>
    </w:p>
    <w:p w14:paraId="63B21A37" w14:textId="77777777" w:rsidR="00D92463" w:rsidRDefault="00D92463">
      <w:pPr>
        <w:spacing w:before="0" w:after="200"/>
        <w:rPr>
          <w:rFonts w:asciiTheme="majorHAnsi" w:eastAsiaTheme="majorEastAsia" w:hAnsiTheme="majorHAnsi" w:cstheme="majorBidi"/>
          <w:b/>
          <w:bCs/>
          <w:color w:val="0063A6" w:themeColor="accent1"/>
          <w:sz w:val="22"/>
          <w:szCs w:val="22"/>
        </w:rPr>
      </w:pPr>
      <w:r>
        <w:br w:type="page"/>
      </w:r>
    </w:p>
    <w:p w14:paraId="71CF681D" w14:textId="2ED95C2E" w:rsidR="00D636BA" w:rsidRPr="00402C76" w:rsidRDefault="00D636BA" w:rsidP="000B672C">
      <w:pPr>
        <w:pStyle w:val="Heading3indent"/>
      </w:pPr>
      <w:r w:rsidRPr="00402C76">
        <w:lastRenderedPageBreak/>
        <w:t>Reporting</w:t>
      </w:r>
    </w:p>
    <w:p w14:paraId="3CDA0C95" w14:textId="354C1933" w:rsidR="00D636BA" w:rsidRPr="00402C76" w:rsidRDefault="00D636BA" w:rsidP="00D636BA">
      <w:pPr>
        <w:spacing w:line="252" w:lineRule="auto"/>
        <w:ind w:left="792"/>
      </w:pPr>
      <w:r w:rsidRPr="00402C76">
        <w:t xml:space="preserve">Accountability for use of </w:t>
      </w:r>
      <w:r w:rsidR="00B64A1C">
        <w:t>s</w:t>
      </w:r>
      <w:r w:rsidRPr="00402C76">
        <w:t xml:space="preserve">ection </w:t>
      </w:r>
      <w:r>
        <w:t>30</w:t>
      </w:r>
      <w:r w:rsidRPr="00402C76">
        <w:t xml:space="preserve"> is also met through the presentation of a summary amount </w:t>
      </w:r>
      <w:r>
        <w:t xml:space="preserve">in </w:t>
      </w:r>
      <w:r w:rsidRPr="00402C76">
        <w:t>the State’s Annual Financial Report which is tabled in Parliament after the end of each financial year.</w:t>
      </w:r>
    </w:p>
    <w:p w14:paraId="14218746" w14:textId="77777777" w:rsidR="00D636BA" w:rsidRPr="00402C76" w:rsidRDefault="00D636BA" w:rsidP="000B672C">
      <w:pPr>
        <w:pStyle w:val="Heading3indent"/>
      </w:pPr>
      <w:r w:rsidRPr="00402C76">
        <w:t>Application and assessment process</w:t>
      </w:r>
    </w:p>
    <w:p w14:paraId="654F456B" w14:textId="77777777" w:rsidR="00D636BA" w:rsidRPr="00402C76" w:rsidRDefault="00D636BA" w:rsidP="00D636BA">
      <w:pPr>
        <w:spacing w:line="252" w:lineRule="auto"/>
        <w:ind w:left="792"/>
      </w:pPr>
      <w:r>
        <w:t>Transfer requests</w:t>
      </w:r>
      <w:r w:rsidRPr="00402C76">
        <w:t xml:space="preserve"> must consist of a letter from the relevant portfolio minister addressed to the Treasurer.</w:t>
      </w:r>
    </w:p>
    <w:p w14:paraId="2D271488" w14:textId="14C921BF" w:rsidR="00D636BA" w:rsidRPr="00402C76" w:rsidRDefault="00D636BA" w:rsidP="00D636BA">
      <w:pPr>
        <w:spacing w:line="252" w:lineRule="auto"/>
        <w:ind w:left="792"/>
      </w:pPr>
      <w:r w:rsidRPr="00402C76">
        <w:t xml:space="preserve">Each request is assessed by DTF and advice </w:t>
      </w:r>
      <w:r w:rsidR="00695A2B">
        <w:t>provided to the Treasurer</w:t>
      </w:r>
      <w:r w:rsidRPr="00402C76">
        <w:t xml:space="preserve">. The Treasurer will determine whether or not to </w:t>
      </w:r>
      <w:r w:rsidR="001B4A9F">
        <w:t>consent to</w:t>
      </w:r>
      <w:r w:rsidR="001B4A9F" w:rsidRPr="00402C76">
        <w:t xml:space="preserve"> </w:t>
      </w:r>
      <w:r w:rsidRPr="00402C76">
        <w:t>the request.</w:t>
      </w:r>
    </w:p>
    <w:p w14:paraId="4F4B6625" w14:textId="77777777" w:rsidR="00D636BA" w:rsidRPr="00402C76" w:rsidRDefault="00D636BA" w:rsidP="000B672C">
      <w:pPr>
        <w:pStyle w:val="Heading3indent"/>
      </w:pPr>
      <w:r w:rsidRPr="00402C76">
        <w:t>Approval notification</w:t>
      </w:r>
    </w:p>
    <w:p w14:paraId="5CF1AB94" w14:textId="436F76D2" w:rsidR="00E73619" w:rsidRDefault="00E73619" w:rsidP="00D636BA">
      <w:pPr>
        <w:spacing w:line="252" w:lineRule="auto"/>
        <w:ind w:left="792"/>
      </w:pPr>
      <w:r w:rsidRPr="00E73619">
        <w:t xml:space="preserve">The Treasurer will provide return correspondence to the </w:t>
      </w:r>
      <w:r w:rsidR="00B64A1C">
        <w:t>M</w:t>
      </w:r>
      <w:r w:rsidRPr="00E73619">
        <w:t>inister making the request.</w:t>
      </w:r>
    </w:p>
    <w:p w14:paraId="1A9A70E3" w14:textId="52920F56" w:rsidR="00D636BA" w:rsidRDefault="00D636BA" w:rsidP="00D636BA">
      <w:pPr>
        <w:spacing w:line="252" w:lineRule="auto"/>
        <w:ind w:left="792"/>
      </w:pPr>
      <w:r w:rsidRPr="00402C76">
        <w:t xml:space="preserve">DTF will </w:t>
      </w:r>
      <w:r w:rsidR="00E73619">
        <w:t xml:space="preserve">also </w:t>
      </w:r>
      <w:r w:rsidRPr="00402C76">
        <w:t xml:space="preserve">advise the Department </w:t>
      </w:r>
      <w:r w:rsidR="00B64A1C">
        <w:t>if</w:t>
      </w:r>
      <w:r w:rsidRPr="00402C76">
        <w:t xml:space="preserve"> the </w:t>
      </w:r>
      <w:r>
        <w:t>transfer</w:t>
      </w:r>
      <w:r w:rsidRPr="00402C76">
        <w:t xml:space="preserve"> request </w:t>
      </w:r>
      <w:r>
        <w:t>is</w:t>
      </w:r>
      <w:r w:rsidRPr="00402C76">
        <w:t xml:space="preserve"> approved</w:t>
      </w:r>
      <w:r>
        <w:t>.</w:t>
      </w:r>
    </w:p>
    <w:p w14:paraId="31E966F8" w14:textId="77777777" w:rsidR="00D636BA" w:rsidRDefault="00D636BA" w:rsidP="00D636BA">
      <w:pPr>
        <w:spacing w:before="0" w:after="200"/>
        <w:rPr>
          <w:rFonts w:asciiTheme="majorHAnsi" w:eastAsiaTheme="majorEastAsia" w:hAnsiTheme="majorHAnsi" w:cstheme="majorBidi"/>
          <w:b/>
          <w:bCs/>
          <w:color w:val="201547"/>
          <w:spacing w:val="-1"/>
          <w:sz w:val="36"/>
          <w:szCs w:val="28"/>
        </w:rPr>
      </w:pPr>
      <w:bookmarkStart w:id="311" w:name="_Toc457812213"/>
      <w:bookmarkStart w:id="312" w:name="_Toc457812415"/>
      <w:bookmarkStart w:id="313" w:name="_Toc457816937"/>
      <w:bookmarkStart w:id="314" w:name="_Toc457817217"/>
      <w:bookmarkStart w:id="315" w:name="_Toc457817430"/>
      <w:bookmarkStart w:id="316" w:name="_Toc457812217"/>
      <w:bookmarkStart w:id="317" w:name="_Toc457812419"/>
      <w:bookmarkStart w:id="318" w:name="_Toc457816941"/>
      <w:bookmarkStart w:id="319" w:name="_Toc457817221"/>
      <w:bookmarkStart w:id="320" w:name="_Toc457817434"/>
      <w:bookmarkEnd w:id="311"/>
      <w:bookmarkEnd w:id="312"/>
      <w:bookmarkEnd w:id="313"/>
      <w:bookmarkEnd w:id="314"/>
      <w:bookmarkEnd w:id="315"/>
      <w:bookmarkEnd w:id="316"/>
      <w:bookmarkEnd w:id="317"/>
      <w:bookmarkEnd w:id="318"/>
      <w:bookmarkEnd w:id="319"/>
      <w:bookmarkEnd w:id="320"/>
      <w:r>
        <w:br w:type="page"/>
      </w:r>
    </w:p>
    <w:p w14:paraId="621FFBE7" w14:textId="48632F2F" w:rsidR="005476DA" w:rsidRDefault="004613D1" w:rsidP="00696C7D">
      <w:pPr>
        <w:pStyle w:val="Heading2numbered"/>
      </w:pPr>
      <w:bookmarkStart w:id="321" w:name="_Toc476658108"/>
      <w:r>
        <w:lastRenderedPageBreak/>
        <w:t>Carryover (</w:t>
      </w:r>
      <w:r w:rsidR="00923197">
        <w:t xml:space="preserve">of </w:t>
      </w:r>
      <w:r>
        <w:t xml:space="preserve">unused appropriation) – </w:t>
      </w:r>
      <w:r w:rsidR="00B64A1C">
        <w:t>s</w:t>
      </w:r>
      <w:r>
        <w:t xml:space="preserve">ection 32 </w:t>
      </w:r>
      <w:r w:rsidR="00C604CF">
        <w:t xml:space="preserve">of the </w:t>
      </w:r>
      <w:r>
        <w:t>FMA</w:t>
      </w:r>
      <w:bookmarkEnd w:id="321"/>
      <w:r>
        <w:t xml:space="preserve"> </w:t>
      </w:r>
      <w:bookmarkEnd w:id="308"/>
    </w:p>
    <w:tbl>
      <w:tblPr>
        <w:tblStyle w:val="Mandatory"/>
        <w:tblW w:w="7483" w:type="dxa"/>
        <w:tblLook w:val="0620" w:firstRow="1" w:lastRow="0" w:firstColumn="0" w:lastColumn="0" w:noHBand="1" w:noVBand="1"/>
      </w:tblPr>
      <w:tblGrid>
        <w:gridCol w:w="7483"/>
      </w:tblGrid>
      <w:tr w:rsidR="005476DA" w:rsidRPr="006926C1" w14:paraId="75B378AB" w14:textId="77777777" w:rsidTr="006926C1">
        <w:trPr>
          <w:cnfStyle w:val="100000000000" w:firstRow="1" w:lastRow="0" w:firstColumn="0" w:lastColumn="0" w:oddVBand="0" w:evenVBand="0" w:oddHBand="0" w:evenHBand="0" w:firstRowFirstColumn="0" w:firstRowLastColumn="0" w:lastRowFirstColumn="0" w:lastRowLastColumn="0"/>
        </w:trPr>
        <w:tc>
          <w:tcPr>
            <w:tcW w:w="7483" w:type="dxa"/>
          </w:tcPr>
          <w:p w14:paraId="000FB586" w14:textId="77777777" w:rsidR="005476DA" w:rsidRPr="006926C1" w:rsidRDefault="005476DA" w:rsidP="00241517">
            <w:pPr>
              <w:pStyle w:val="Tableheader"/>
            </w:pPr>
            <w:r w:rsidRPr="006926C1">
              <w:t xml:space="preserve">Mandatory </w:t>
            </w:r>
            <w:r w:rsidR="00241517" w:rsidRPr="006926C1">
              <w:t>requirements</w:t>
            </w:r>
            <w:r w:rsidR="00241517" w:rsidRPr="006926C1">
              <w:br/>
            </w:r>
            <w:r w:rsidRPr="006926C1">
              <w:t>SECTION 32 CARRYOVER (UNUSED APPROPRIATION)</w:t>
            </w:r>
          </w:p>
        </w:tc>
      </w:tr>
      <w:tr w:rsidR="005476DA" w:rsidRPr="007B3C7A" w14:paraId="59C0B203" w14:textId="77777777" w:rsidTr="006926C1">
        <w:tc>
          <w:tcPr>
            <w:tcW w:w="7483" w:type="dxa"/>
          </w:tcPr>
          <w:p w14:paraId="012931A9" w14:textId="77777777" w:rsidR="000C3BE4" w:rsidRPr="000F010F" w:rsidRDefault="000C3BE4" w:rsidP="00DA412B">
            <w:pPr>
              <w:pStyle w:val="Heading3numbered"/>
              <w:numPr>
                <w:ilvl w:val="4"/>
                <w:numId w:val="45"/>
              </w:numPr>
            </w:pPr>
            <w:bookmarkStart w:id="322" w:name="_Toc476658109"/>
            <w:bookmarkStart w:id="323" w:name="_Toc445459725"/>
            <w:r w:rsidRPr="000F010F">
              <w:t xml:space="preserve">Process and requirements for </w:t>
            </w:r>
            <w:r>
              <w:t>requests for carryover of appropriation</w:t>
            </w:r>
            <w:bookmarkEnd w:id="322"/>
          </w:p>
          <w:p w14:paraId="6CD572FD" w14:textId="0392D7AE" w:rsidR="00257825" w:rsidRDefault="00257825" w:rsidP="000C3BE4">
            <w:pPr>
              <w:spacing w:before="100"/>
              <w:ind w:left="792"/>
            </w:pPr>
            <w:r w:rsidRPr="00257825">
              <w:t xml:space="preserve">In preparing a letter from a Minister to the Treasurer seeking </w:t>
            </w:r>
            <w:r>
              <w:t>permission to carryover unspent appropriation</w:t>
            </w:r>
            <w:r w:rsidRPr="00257825">
              <w:t xml:space="preserve"> </w:t>
            </w:r>
            <w:r>
              <w:t xml:space="preserve">under </w:t>
            </w:r>
            <w:r w:rsidR="00B64A1C">
              <w:t>s</w:t>
            </w:r>
            <w:r w:rsidRPr="00257825">
              <w:t>ection 3</w:t>
            </w:r>
            <w:r>
              <w:t>2</w:t>
            </w:r>
            <w:r w:rsidRPr="00257825">
              <w:t xml:space="preserve"> of the FMA, a Department must ensure the letter includes:</w:t>
            </w:r>
          </w:p>
          <w:p w14:paraId="7E4A24F9" w14:textId="77777777" w:rsidR="00625B60" w:rsidRDefault="00625B60" w:rsidP="00625B60">
            <w:pPr>
              <w:pStyle w:val="Listnumindent"/>
            </w:pPr>
            <w:r>
              <w:t>the quantum of the carryover sought (for any output, ATNAB and POBOS appropriation);</w:t>
            </w:r>
          </w:p>
          <w:p w14:paraId="7D79728E" w14:textId="514B0010" w:rsidR="00BF4D5A" w:rsidRDefault="000C3BE4" w:rsidP="00D318FE">
            <w:pPr>
              <w:pStyle w:val="Listnumindent"/>
            </w:pPr>
            <w:r>
              <w:t xml:space="preserve">the reasons for the </w:t>
            </w:r>
            <w:r w:rsidR="00625B60">
              <w:t>carryover</w:t>
            </w:r>
            <w:r>
              <w:t xml:space="preserve"> request</w:t>
            </w:r>
            <w:r w:rsidR="00625B60">
              <w:t xml:space="preserve">. </w:t>
            </w:r>
            <w:r w:rsidR="00D318FE" w:rsidRPr="00D318FE">
              <w:t xml:space="preserve">This </w:t>
            </w:r>
            <w:r w:rsidR="00D318FE">
              <w:t>must</w:t>
            </w:r>
            <w:r w:rsidR="00D318FE" w:rsidRPr="00D318FE">
              <w:t xml:space="preserve"> include an explanation </w:t>
            </w:r>
            <w:r w:rsidR="00367C10">
              <w:t xml:space="preserve">of </w:t>
            </w:r>
            <w:r w:rsidR="00D318FE" w:rsidRPr="00D318FE">
              <w:t>why the carryover is sought</w:t>
            </w:r>
            <w:r w:rsidR="00D318FE">
              <w:t>,</w:t>
            </w:r>
            <w:r w:rsidR="00D318FE" w:rsidRPr="00D318FE">
              <w:t xml:space="preserve"> as well as information to justify its approval. Explanations must also include the identification and details of specific programs or projects that have resulted in the requ</w:t>
            </w:r>
            <w:r w:rsidR="00D318FE">
              <w:t>est</w:t>
            </w:r>
            <w:r w:rsidR="00625B60">
              <w:t xml:space="preserve">; </w:t>
            </w:r>
          </w:p>
          <w:p w14:paraId="372CB131" w14:textId="77777777" w:rsidR="00D318FE" w:rsidRPr="00BF4D5A" w:rsidRDefault="00BF4D5A" w:rsidP="00BF4D5A">
            <w:pPr>
              <w:pStyle w:val="Listnumindent"/>
            </w:pPr>
            <w:r>
              <w:t>any proposed adjustments to output and financial performance targets arising from the request; and</w:t>
            </w:r>
          </w:p>
          <w:p w14:paraId="4896652A" w14:textId="77777777" w:rsidR="00625B60" w:rsidRDefault="00625B60" w:rsidP="00625B60">
            <w:pPr>
              <w:pStyle w:val="Listnumindent"/>
            </w:pPr>
            <w:r>
              <w:t>the application of any prior year’s carryover</w:t>
            </w:r>
            <w:r w:rsidR="008E1FCB">
              <w:t xml:space="preserve"> on the programs or projects that form part of the request</w:t>
            </w:r>
            <w:r>
              <w:t>.</w:t>
            </w:r>
          </w:p>
          <w:p w14:paraId="4CB3D738" w14:textId="36937694" w:rsidR="000C3BE4" w:rsidRDefault="00625B60" w:rsidP="008E1FCB">
            <w:pPr>
              <w:pStyle w:val="Listnumindent"/>
              <w:numPr>
                <w:ilvl w:val="0"/>
                <w:numId w:val="0"/>
              </w:numPr>
              <w:ind w:left="792"/>
            </w:pPr>
            <w:r w:rsidRPr="00AC2B2E">
              <w:t xml:space="preserve">The Treasurer </w:t>
            </w:r>
            <w:r w:rsidR="008E1FCB">
              <w:t>shall determine</w:t>
            </w:r>
            <w:r>
              <w:t xml:space="preserve"> </w:t>
            </w:r>
            <w:r w:rsidR="00367C10">
              <w:t xml:space="preserve">if </w:t>
            </w:r>
            <w:r>
              <w:t>the carryover request will be approved</w:t>
            </w:r>
            <w:r w:rsidRPr="00AC2B2E">
              <w:t>.</w:t>
            </w:r>
          </w:p>
          <w:p w14:paraId="2A546CD1" w14:textId="77777777" w:rsidR="005476DA" w:rsidRDefault="00094D53" w:rsidP="00DA7648">
            <w:pPr>
              <w:pStyle w:val="Heading3numbered"/>
            </w:pPr>
            <w:bookmarkStart w:id="324" w:name="_Toc476658110"/>
            <w:r>
              <w:t>General c</w:t>
            </w:r>
            <w:r w:rsidR="005476DA">
              <w:t>arryover approval</w:t>
            </w:r>
            <w:bookmarkEnd w:id="323"/>
            <w:r w:rsidR="00B2501F">
              <w:t xml:space="preserve"> conditions and limits</w:t>
            </w:r>
            <w:bookmarkEnd w:id="324"/>
          </w:p>
          <w:p w14:paraId="03DF4FDE" w14:textId="77777777" w:rsidR="00B2501F" w:rsidRDefault="00AA67E6" w:rsidP="00AA67E6">
            <w:pPr>
              <w:pStyle w:val="Listnumindent"/>
            </w:pPr>
            <w:r w:rsidRPr="006121A8">
              <w:t xml:space="preserve">Carryovers into the following budget year can only be considered where </w:t>
            </w:r>
            <w:r>
              <w:t xml:space="preserve">the </w:t>
            </w:r>
            <w:r w:rsidRPr="006121A8">
              <w:t xml:space="preserve">appropriation has not </w:t>
            </w:r>
            <w:r>
              <w:t>already been applied.</w:t>
            </w:r>
          </w:p>
          <w:p w14:paraId="2907A522" w14:textId="77777777" w:rsidR="00AC2B2E" w:rsidRDefault="008B4CB1" w:rsidP="00AC2B2E">
            <w:pPr>
              <w:pStyle w:val="Listnumindent"/>
            </w:pPr>
            <w:r w:rsidRPr="009378B0">
              <w:rPr>
                <w:szCs w:val="17"/>
              </w:rPr>
              <w:t>Any unapplied appropriation not approved for carryover will lapse.</w:t>
            </w:r>
          </w:p>
          <w:p w14:paraId="2556C6A5" w14:textId="184AA05A" w:rsidR="00153A86" w:rsidRPr="00AC2B2E" w:rsidRDefault="00D40D74" w:rsidP="00F308D0">
            <w:pPr>
              <w:pStyle w:val="Listnumindent"/>
            </w:pPr>
            <w:r>
              <w:t xml:space="preserve">Section 32 does not permit a </w:t>
            </w:r>
            <w:r w:rsidR="00AC2B2E" w:rsidRPr="00AC2B2E">
              <w:t xml:space="preserve">Department </w:t>
            </w:r>
            <w:r>
              <w:t>to</w:t>
            </w:r>
            <w:r w:rsidR="00AC2B2E" w:rsidRPr="00AC2B2E">
              <w:t xml:space="preserve"> carry forward a carryover from a preceding year</w:t>
            </w:r>
            <w:r w:rsidR="002536C8">
              <w:t>.</w:t>
            </w:r>
          </w:p>
          <w:p w14:paraId="0D0F71C0" w14:textId="77777777" w:rsidR="005476DA" w:rsidRPr="009E651A" w:rsidRDefault="008B4CB1" w:rsidP="008A12DC">
            <w:pPr>
              <w:pStyle w:val="Heading3numbered"/>
            </w:pPr>
            <w:bookmarkStart w:id="325" w:name="_Toc445459726"/>
            <w:bookmarkStart w:id="326" w:name="_Toc476658111"/>
            <w:r>
              <w:t>Specific conditions for c</w:t>
            </w:r>
            <w:r w:rsidR="005476DA" w:rsidRPr="009E651A">
              <w:t>arryover</w:t>
            </w:r>
            <w:bookmarkEnd w:id="325"/>
            <w:r w:rsidR="005615BC">
              <w:t xml:space="preserve"> </w:t>
            </w:r>
            <w:r w:rsidR="00B074AF">
              <w:t xml:space="preserve">for </w:t>
            </w:r>
            <w:r w:rsidR="005615BC">
              <w:t>output</w:t>
            </w:r>
            <w:r w:rsidR="00B074AF">
              <w:t xml:space="preserve"> appropriation</w:t>
            </w:r>
            <w:bookmarkEnd w:id="326"/>
          </w:p>
          <w:p w14:paraId="248B8301" w14:textId="2340FAEC" w:rsidR="008B4CB1" w:rsidRDefault="008B4CB1" w:rsidP="008B4CB1">
            <w:pPr>
              <w:pStyle w:val="Listnumindent"/>
            </w:pPr>
            <w:r w:rsidRPr="00B2501F">
              <w:t xml:space="preserve">Unless the Treasurer approves otherwise, Departments </w:t>
            </w:r>
            <w:r>
              <w:t>may</w:t>
            </w:r>
            <w:r w:rsidRPr="00B2501F">
              <w:t xml:space="preserve"> only carryover the unapplied provision of output appropriation up to </w:t>
            </w:r>
            <w:r w:rsidR="00CC37A7">
              <w:t>three</w:t>
            </w:r>
            <w:r w:rsidRPr="00B2501F">
              <w:t xml:space="preserve"> per cent</w:t>
            </w:r>
            <w:r>
              <w:t xml:space="preserve"> </w:t>
            </w:r>
            <w:r w:rsidRPr="00B2501F">
              <w:t>of the total (gross) appropriation for that item.</w:t>
            </w:r>
          </w:p>
          <w:p w14:paraId="172D964E" w14:textId="77777777" w:rsidR="002536C8" w:rsidRDefault="002536C8" w:rsidP="002536C8">
            <w:pPr>
              <w:pStyle w:val="Listnumindent"/>
            </w:pPr>
            <w:r w:rsidRPr="002536C8">
              <w:t>Any carryover request cannot exceed the difference between revenue certified and total appropriation provided in a financial year.</w:t>
            </w:r>
          </w:p>
          <w:p w14:paraId="4AEBF91D" w14:textId="77777777" w:rsidR="005476DA" w:rsidRPr="008E1FCB" w:rsidRDefault="002536C8" w:rsidP="008E1FCB">
            <w:pPr>
              <w:pStyle w:val="Listnumindent"/>
            </w:pPr>
            <w:r>
              <w:t>A c</w:t>
            </w:r>
            <w:r w:rsidRPr="002536C8">
              <w:t xml:space="preserve">arryover </w:t>
            </w:r>
            <w:r>
              <w:t>request shall not</w:t>
            </w:r>
            <w:r w:rsidRPr="002536C8">
              <w:t xml:space="preserve"> be granted if the Department’s revenue for the year has been fully certified.</w:t>
            </w:r>
          </w:p>
        </w:tc>
      </w:tr>
    </w:tbl>
    <w:p w14:paraId="507A0D2F" w14:textId="77777777" w:rsidR="00241517" w:rsidRDefault="00241517" w:rsidP="00241517">
      <w:pPr>
        <w:pStyle w:val="Spacer"/>
      </w:pPr>
    </w:p>
    <w:p w14:paraId="7FB96F99" w14:textId="77777777" w:rsidR="00B47296" w:rsidRDefault="00B47296">
      <w:pPr>
        <w:spacing w:before="0" w:after="200"/>
        <w:rPr>
          <w:rFonts w:asciiTheme="majorHAnsi" w:eastAsiaTheme="majorEastAsia" w:hAnsiTheme="majorHAnsi" w:cstheme="majorBidi"/>
          <w:b/>
          <w:bCs/>
          <w:color w:val="0063A6" w:themeColor="accent1"/>
          <w:sz w:val="28"/>
          <w:szCs w:val="26"/>
        </w:rPr>
      </w:pPr>
      <w:r>
        <w:br w:type="page"/>
      </w:r>
    </w:p>
    <w:p w14:paraId="755893B8" w14:textId="60D5A8CB" w:rsidR="005476DA" w:rsidRPr="00862803" w:rsidRDefault="005476DA" w:rsidP="00B47296">
      <w:pPr>
        <w:pStyle w:val="Heading2indent"/>
        <w:spacing w:before="240"/>
      </w:pPr>
      <w:r w:rsidRPr="00862803">
        <w:lastRenderedPageBreak/>
        <w:t>Guidance</w:t>
      </w:r>
    </w:p>
    <w:p w14:paraId="6227FD44" w14:textId="77777777" w:rsidR="005476DA" w:rsidRPr="003B32FA" w:rsidRDefault="005476DA" w:rsidP="000B672C">
      <w:pPr>
        <w:pStyle w:val="Heading3indent"/>
      </w:pPr>
      <w:r>
        <w:t>Definition of carryover</w:t>
      </w:r>
    </w:p>
    <w:p w14:paraId="332C0A9F" w14:textId="348F6681" w:rsidR="008552D7" w:rsidRDefault="008552D7" w:rsidP="008A12DC">
      <w:pPr>
        <w:pStyle w:val="NormalIndent"/>
      </w:pPr>
      <w:r>
        <w:t>A c</w:t>
      </w:r>
      <w:r w:rsidR="005476DA" w:rsidRPr="006F221E">
        <w:t xml:space="preserve">arryover </w:t>
      </w:r>
      <w:r w:rsidR="005476DA" w:rsidRPr="003B32FA">
        <w:t xml:space="preserve">arises when amounts appropriated annually </w:t>
      </w:r>
      <w:r w:rsidR="00D40D74">
        <w:t>for</w:t>
      </w:r>
      <w:r w:rsidR="00D40D74" w:rsidRPr="003B32FA">
        <w:t xml:space="preserve"> </w:t>
      </w:r>
      <w:r w:rsidR="005476DA">
        <w:t>D</w:t>
      </w:r>
      <w:r w:rsidR="005476DA" w:rsidRPr="003B32FA">
        <w:t xml:space="preserve">epartments or </w:t>
      </w:r>
      <w:r w:rsidR="00D40D74">
        <w:t>the</w:t>
      </w:r>
      <w:r w:rsidR="00D40D74" w:rsidRPr="003B32FA">
        <w:t xml:space="preserve"> </w:t>
      </w:r>
      <w:r w:rsidR="005476DA" w:rsidRPr="003B32FA">
        <w:t xml:space="preserve">Parliament, which remain unapplied at the end of one financial year, are approved by the Treasurer for application in the following financial year (i.e. amounts are </w:t>
      </w:r>
      <w:r w:rsidR="00D40D74">
        <w:t>‘</w:t>
      </w:r>
      <w:r w:rsidR="005476DA" w:rsidRPr="003B32FA">
        <w:t>carried over</w:t>
      </w:r>
      <w:r w:rsidR="00D40D74">
        <w:t>’</w:t>
      </w:r>
      <w:r w:rsidR="005476DA" w:rsidRPr="003B32FA">
        <w:t xml:space="preserve"> </w:t>
      </w:r>
      <w:r w:rsidR="00D40D74">
        <w:t>and deemed added to the appropriation for</w:t>
      </w:r>
      <w:r w:rsidR="005476DA" w:rsidRPr="003B32FA">
        <w:t xml:space="preserve"> the following financial year). This approval is granted under the authority of </w:t>
      </w:r>
      <w:r w:rsidR="00367C10">
        <w:t>s</w:t>
      </w:r>
      <w:r w:rsidR="005476DA" w:rsidRPr="003B32FA">
        <w:t>ection 32(1) of the</w:t>
      </w:r>
      <w:r w:rsidR="005476DA">
        <w:t xml:space="preserve"> FMA</w:t>
      </w:r>
      <w:r w:rsidR="005476DA" w:rsidRPr="003B32FA">
        <w:t>.</w:t>
      </w:r>
    </w:p>
    <w:p w14:paraId="3BA04556" w14:textId="77777777" w:rsidR="005476DA" w:rsidRDefault="005476DA" w:rsidP="008A12DC">
      <w:pPr>
        <w:pStyle w:val="NormalIndent"/>
      </w:pPr>
      <w:r w:rsidRPr="003B32FA">
        <w:t xml:space="preserve">Special or standing appropriations are not impacted by the </w:t>
      </w:r>
      <w:r w:rsidR="008552D7">
        <w:t>c</w:t>
      </w:r>
      <w:r w:rsidRPr="003B32FA">
        <w:t xml:space="preserve">arryover provisions. </w:t>
      </w:r>
    </w:p>
    <w:p w14:paraId="2F678C1A" w14:textId="62046D26" w:rsidR="00320842" w:rsidRDefault="00320842" w:rsidP="003D272A">
      <w:pPr>
        <w:spacing w:line="252" w:lineRule="auto"/>
        <w:ind w:left="792"/>
      </w:pPr>
      <w:r>
        <w:t xml:space="preserve">Warrant is </w:t>
      </w:r>
      <w:r w:rsidRPr="003D272A">
        <w:rPr>
          <w:b/>
        </w:rPr>
        <w:t>not</w:t>
      </w:r>
      <w:r>
        <w:t xml:space="preserve"> required for a section 32 request.</w:t>
      </w:r>
    </w:p>
    <w:p w14:paraId="0E90CA57" w14:textId="77777777" w:rsidR="006A4A2C" w:rsidRDefault="006A4A2C" w:rsidP="000B672C">
      <w:pPr>
        <w:pStyle w:val="Heading3indent"/>
      </w:pPr>
      <w:r>
        <w:t>General c</w:t>
      </w:r>
      <w:r w:rsidR="00F308D0" w:rsidRPr="006121A8">
        <w:t xml:space="preserve">arryover </w:t>
      </w:r>
      <w:r>
        <w:t>guidance</w:t>
      </w:r>
    </w:p>
    <w:p w14:paraId="63AF13C4" w14:textId="77777777" w:rsidR="00F308D0" w:rsidRPr="006121A8" w:rsidRDefault="006A4A2C" w:rsidP="00B47296">
      <w:pPr>
        <w:pStyle w:val="Heading4indent"/>
      </w:pPr>
      <w:r>
        <w:t>P</w:t>
      </w:r>
      <w:r w:rsidR="00F308D0" w:rsidRPr="006121A8">
        <w:t>rovision of output appropriation</w:t>
      </w:r>
    </w:p>
    <w:p w14:paraId="4E962DD4" w14:textId="77777777" w:rsidR="00F308D0" w:rsidRPr="003B32FA" w:rsidRDefault="00F308D0" w:rsidP="00F308D0">
      <w:pPr>
        <w:pStyle w:val="NormalIndent"/>
      </w:pPr>
      <w:r w:rsidRPr="003B32FA">
        <w:t xml:space="preserve">Where a </w:t>
      </w:r>
      <w:r>
        <w:t>D</w:t>
      </w:r>
      <w:r w:rsidRPr="003B32FA">
        <w:t xml:space="preserve">epartment has delivered less than its budgeted quantity of outputs, but the outputs actually delivered have been provided in the budgeted unit cost, the </w:t>
      </w:r>
      <w:r>
        <w:t>D</w:t>
      </w:r>
      <w:r w:rsidRPr="003B32FA">
        <w:t xml:space="preserve">epartment may apply to the Treasurer for approval for the remainder of the appropriation to be carried over to a subsequent year. </w:t>
      </w:r>
    </w:p>
    <w:p w14:paraId="7268FFDF" w14:textId="7C5C25EC" w:rsidR="00F308D0" w:rsidRDefault="00F308D0" w:rsidP="00F308D0">
      <w:pPr>
        <w:spacing w:line="252" w:lineRule="auto"/>
        <w:ind w:left="792"/>
      </w:pPr>
      <w:r w:rsidRPr="00864228">
        <w:t xml:space="preserve">DTF will assess any requests for carryover against the </w:t>
      </w:r>
      <w:r>
        <w:t>D</w:t>
      </w:r>
      <w:r w:rsidRPr="00864228">
        <w:t xml:space="preserve">epartment’s revenue certification claim </w:t>
      </w:r>
      <w:r w:rsidR="00F019A6">
        <w:t xml:space="preserve">and the </w:t>
      </w:r>
      <w:r w:rsidR="00367C10">
        <w:t>G</w:t>
      </w:r>
      <w:r w:rsidR="00F019A6">
        <w:t xml:space="preserve">overnment’s priorities </w:t>
      </w:r>
      <w:r w:rsidRPr="00864228">
        <w:t xml:space="preserve">to </w:t>
      </w:r>
      <w:r w:rsidR="00F019A6">
        <w:t>ascertain</w:t>
      </w:r>
      <w:r w:rsidR="00F019A6" w:rsidRPr="00864228">
        <w:t xml:space="preserve"> </w:t>
      </w:r>
      <w:r w:rsidR="00496B17">
        <w:t>whether</w:t>
      </w:r>
      <w:r>
        <w:t xml:space="preserve"> </w:t>
      </w:r>
      <w:r w:rsidRPr="00864228">
        <w:t xml:space="preserve">the request is reasonable. </w:t>
      </w:r>
    </w:p>
    <w:p w14:paraId="412CF065" w14:textId="77777777" w:rsidR="00F308D0" w:rsidRPr="006121A8" w:rsidRDefault="006A4A2C" w:rsidP="00B47296">
      <w:pPr>
        <w:pStyle w:val="Heading4indent"/>
      </w:pPr>
      <w:r>
        <w:t>A</w:t>
      </w:r>
      <w:r w:rsidR="00F308D0">
        <w:t>dditions to the net asset base (ATNAB)</w:t>
      </w:r>
      <w:r w:rsidR="00F308D0" w:rsidRPr="006121A8">
        <w:t xml:space="preserve"> appropriation</w:t>
      </w:r>
    </w:p>
    <w:p w14:paraId="740F1932" w14:textId="77777777" w:rsidR="00F308D0" w:rsidRDefault="00F308D0" w:rsidP="00F308D0">
      <w:pPr>
        <w:pStyle w:val="NormalIndent"/>
      </w:pPr>
      <w:r w:rsidRPr="00AC2B2E">
        <w:t>Where a Department’s capital investment program has not been progressed as originally budgeted for, a Department may seek the Treasurer’s approval to carry over the unapplied appropriation specific to the delayed projects.</w:t>
      </w:r>
      <w:r>
        <w:t xml:space="preserve"> </w:t>
      </w:r>
    </w:p>
    <w:p w14:paraId="02469073" w14:textId="77777777" w:rsidR="008E1FCB" w:rsidRDefault="008E1FCB" w:rsidP="00F308D0">
      <w:pPr>
        <w:pStyle w:val="NormalIndent"/>
      </w:pPr>
      <w:r w:rsidRPr="008E1FCB">
        <w:t>Appropriation associated with a capital project that is to be discontinued is not usually eligible for carryover. The unapplied appropriation associated with such projects normally lapses, unless the Treasurer authorises otherwise.</w:t>
      </w:r>
    </w:p>
    <w:p w14:paraId="682033DD" w14:textId="77777777" w:rsidR="008E1FCB" w:rsidRDefault="008E1FCB" w:rsidP="00F308D0">
      <w:pPr>
        <w:pStyle w:val="NormalIndent"/>
      </w:pPr>
      <w:r w:rsidRPr="008E1FCB">
        <w:t xml:space="preserve">Requests for carryover of unapplied appropriation for additions to the net asset base </w:t>
      </w:r>
      <w:r w:rsidR="002A464A">
        <w:t>are</w:t>
      </w:r>
      <w:r w:rsidRPr="008E1FCB">
        <w:t xml:space="preserve"> considered on a case-by-case basis.</w:t>
      </w:r>
    </w:p>
    <w:p w14:paraId="367285F2" w14:textId="77777777" w:rsidR="00F308D0" w:rsidRPr="006121A8" w:rsidRDefault="006A4A2C" w:rsidP="00B47296">
      <w:pPr>
        <w:pStyle w:val="Heading4indent"/>
      </w:pPr>
      <w:r>
        <w:t>P</w:t>
      </w:r>
      <w:r w:rsidR="00F308D0">
        <w:t>ayments made on behalf of the State (POBOS)</w:t>
      </w:r>
      <w:r w:rsidR="00F308D0" w:rsidRPr="006121A8">
        <w:t xml:space="preserve"> appropriation</w:t>
      </w:r>
    </w:p>
    <w:p w14:paraId="62896B88" w14:textId="77777777" w:rsidR="00F308D0" w:rsidRDefault="00F308D0" w:rsidP="00F308D0">
      <w:pPr>
        <w:pStyle w:val="NormalIndent"/>
      </w:pPr>
      <w:r w:rsidRPr="002536C8">
        <w:t>A Department m</w:t>
      </w:r>
      <w:r>
        <w:t>ay</w:t>
      </w:r>
      <w:r w:rsidRPr="002536C8">
        <w:t xml:space="preserve"> apply to the Treasurer for a carryover related to the deferral of any payments made on behalf of the State.</w:t>
      </w:r>
    </w:p>
    <w:p w14:paraId="4CEF1958" w14:textId="77777777" w:rsidR="008E1FCB" w:rsidRPr="00864228" w:rsidRDefault="008E1FCB" w:rsidP="00F308D0">
      <w:pPr>
        <w:pStyle w:val="NormalIndent"/>
      </w:pPr>
      <w:r w:rsidRPr="008E1FCB">
        <w:t xml:space="preserve">Requests for carryover of unapplied appropriation for payments made on behalf of the State </w:t>
      </w:r>
      <w:r w:rsidR="002A464A">
        <w:t>are</w:t>
      </w:r>
      <w:r w:rsidRPr="008E1FCB">
        <w:t xml:space="preserve"> considered on a case-by-case basis.</w:t>
      </w:r>
    </w:p>
    <w:p w14:paraId="0BAC361D" w14:textId="77777777" w:rsidR="006A4A2C" w:rsidRDefault="005C76A2" w:rsidP="000B672C">
      <w:pPr>
        <w:pStyle w:val="Heading3indent"/>
      </w:pPr>
      <w:r>
        <w:t>When should carryover apply (or not apply)?</w:t>
      </w:r>
    </w:p>
    <w:p w14:paraId="68A4B4A6" w14:textId="46FC2EEF" w:rsidR="006A4A2C" w:rsidRDefault="005C76A2" w:rsidP="006A4A2C">
      <w:pPr>
        <w:pStyle w:val="NormalIndent"/>
      </w:pPr>
      <w:r>
        <w:t xml:space="preserve">A Department’s carryover request will be considered </w:t>
      </w:r>
      <w:r w:rsidR="00932CFF">
        <w:t xml:space="preserve">and assessed </w:t>
      </w:r>
      <w:r>
        <w:t xml:space="preserve">on a case-by-case basis by DTF. </w:t>
      </w:r>
    </w:p>
    <w:p w14:paraId="77672BBB" w14:textId="77777777" w:rsidR="00B47296" w:rsidRDefault="00B47296">
      <w:pPr>
        <w:spacing w:before="0" w:after="200"/>
      </w:pPr>
      <w:r>
        <w:br w:type="page"/>
      </w:r>
    </w:p>
    <w:p w14:paraId="11B33467" w14:textId="6F9D0F77" w:rsidR="00D95BC0" w:rsidRDefault="00B71A50" w:rsidP="006A4A2C">
      <w:pPr>
        <w:pStyle w:val="NormalIndent"/>
      </w:pPr>
      <w:r>
        <w:lastRenderedPageBreak/>
        <w:t xml:space="preserve">There are </w:t>
      </w:r>
      <w:r w:rsidR="00932CFF">
        <w:t xml:space="preserve">certain </w:t>
      </w:r>
      <w:r>
        <w:t xml:space="preserve">types of expenditure which, as a general rule, </w:t>
      </w:r>
      <w:r w:rsidR="00932CFF">
        <w:t>DTF would not support for</w:t>
      </w:r>
      <w:r>
        <w:t xml:space="preserve"> carr</w:t>
      </w:r>
      <w:r w:rsidR="00932CFF">
        <w:t>y</w:t>
      </w:r>
      <w:r>
        <w:t>over. Such examples include:</w:t>
      </w:r>
    </w:p>
    <w:p w14:paraId="22EDFCB5" w14:textId="7627BE60" w:rsidR="00B71A50" w:rsidRDefault="00367C10" w:rsidP="00B47296">
      <w:pPr>
        <w:pStyle w:val="Bulletindent"/>
      </w:pPr>
      <w:r>
        <w:t>f</w:t>
      </w:r>
      <w:r w:rsidR="00B71A50">
        <w:t xml:space="preserve">unding for initiatives that </w:t>
      </w:r>
      <w:r>
        <w:t xml:space="preserve">the </w:t>
      </w:r>
      <w:r w:rsidR="00B71A50">
        <w:t>Government has decided should not continue</w:t>
      </w:r>
      <w:r w:rsidR="00A2569E">
        <w:t>;</w:t>
      </w:r>
    </w:p>
    <w:p w14:paraId="1F046274" w14:textId="6DBF5B70" w:rsidR="00B71A50" w:rsidRDefault="00367C10" w:rsidP="00B47296">
      <w:pPr>
        <w:pStyle w:val="Bulletindent"/>
      </w:pPr>
      <w:r>
        <w:t>e</w:t>
      </w:r>
      <w:r w:rsidR="00B71A50">
        <w:t>mployee expenses for ongoing employees</w:t>
      </w:r>
      <w:r w:rsidR="00A2569E">
        <w:t>; and</w:t>
      </w:r>
    </w:p>
    <w:p w14:paraId="0641C68C" w14:textId="6123CD8C" w:rsidR="00B71A50" w:rsidRDefault="00367C10" w:rsidP="00B47296">
      <w:pPr>
        <w:pStyle w:val="Bulletindent"/>
      </w:pPr>
      <w:r>
        <w:t>f</w:t>
      </w:r>
      <w:r w:rsidR="00B71A50">
        <w:t>unding for the awarding of legal costs (where the outcome is not yet determined)</w:t>
      </w:r>
      <w:r w:rsidR="00A2569E">
        <w:t>.</w:t>
      </w:r>
    </w:p>
    <w:p w14:paraId="246AAA80" w14:textId="77777777" w:rsidR="006A4A2C" w:rsidRPr="006A4A2C" w:rsidRDefault="00B71A50" w:rsidP="008B0CC7">
      <w:pPr>
        <w:pStyle w:val="NormalIndent"/>
      </w:pPr>
      <w:r>
        <w:t>Departments should discuss any potential carryover items with DTF that may be contentious before submitting a formal carryover request.</w:t>
      </w:r>
    </w:p>
    <w:p w14:paraId="2B1BA879" w14:textId="77777777" w:rsidR="008552D7" w:rsidRPr="00583D39" w:rsidRDefault="008552D7" w:rsidP="000B672C">
      <w:pPr>
        <w:pStyle w:val="Heading3indent"/>
      </w:pPr>
      <w:r>
        <w:t>Contrast</w:t>
      </w:r>
      <w:r w:rsidR="006A4A2C">
        <w:t>ing carryover</w:t>
      </w:r>
      <w:r>
        <w:t xml:space="preserve"> with the d</w:t>
      </w:r>
      <w:r w:rsidRPr="00583D39">
        <w:t xml:space="preserve">efinition of </w:t>
      </w:r>
      <w:r>
        <w:t xml:space="preserve">a </w:t>
      </w:r>
      <w:r w:rsidRPr="00583D39">
        <w:t xml:space="preserve">surplus </w:t>
      </w:r>
    </w:p>
    <w:p w14:paraId="5F1AF7BB" w14:textId="3591696C" w:rsidR="008552D7" w:rsidRDefault="008552D7" w:rsidP="008552D7">
      <w:pPr>
        <w:pStyle w:val="NormalIndent"/>
      </w:pPr>
      <w:r>
        <w:t xml:space="preserve">Where a </w:t>
      </w:r>
      <w:r w:rsidRPr="00B56E75">
        <w:t xml:space="preserve">Department </w:t>
      </w:r>
      <w:r w:rsidRPr="00F308D0">
        <w:rPr>
          <w:i/>
        </w:rPr>
        <w:t>fully delivers</w:t>
      </w:r>
      <w:r w:rsidRPr="00B56E75">
        <w:t xml:space="preserve"> the outputs funded by provisio</w:t>
      </w:r>
      <w:r>
        <w:t xml:space="preserve">n of output </w:t>
      </w:r>
      <w:r w:rsidRPr="00B56E75">
        <w:t>appropriations</w:t>
      </w:r>
      <w:r>
        <w:t xml:space="preserve">, and </w:t>
      </w:r>
      <w:r w:rsidRPr="00E62C8D">
        <w:t>the corresponding operating expenses are less than its revenue</w:t>
      </w:r>
      <w:r>
        <w:t>,</w:t>
      </w:r>
      <w:r w:rsidRPr="00E62C8D">
        <w:t xml:space="preserve"> the difference is recognised as a surplus on the provision of outputs.</w:t>
      </w:r>
    </w:p>
    <w:p w14:paraId="289EAF9B" w14:textId="26862DDA" w:rsidR="00F308D0" w:rsidRPr="003B32FA" w:rsidRDefault="00F308D0" w:rsidP="00F308D0">
      <w:pPr>
        <w:pStyle w:val="NormalIndent"/>
      </w:pPr>
      <w:r w:rsidRPr="006979A0">
        <w:t>Departments retain this surplus</w:t>
      </w:r>
      <w:r w:rsidR="00932CFF">
        <w:t xml:space="preserve"> in their SAU receivables account</w:t>
      </w:r>
      <w:r w:rsidRPr="006979A0">
        <w:t xml:space="preserve"> in accordance with </w:t>
      </w:r>
      <w:r w:rsidR="006B5CC7">
        <w:t>S</w:t>
      </w:r>
      <w:r w:rsidR="006979A0" w:rsidRPr="006979A0">
        <w:t>ection 2.1</w:t>
      </w:r>
      <w:r w:rsidRPr="006979A0">
        <w:t xml:space="preserve">, </w:t>
      </w:r>
      <w:r w:rsidR="00131AD0">
        <w:t>and</w:t>
      </w:r>
      <w:r w:rsidR="00131AD0" w:rsidRPr="006979A0">
        <w:t xml:space="preserve"> </w:t>
      </w:r>
      <w:r w:rsidRPr="006979A0">
        <w:t xml:space="preserve">may </w:t>
      </w:r>
      <w:r w:rsidR="00131AD0">
        <w:t xml:space="preserve">apply to </w:t>
      </w:r>
      <w:r w:rsidRPr="006979A0">
        <w:t>use it</w:t>
      </w:r>
      <w:r w:rsidRPr="003B32FA">
        <w:t xml:space="preserve"> </w:t>
      </w:r>
      <w:r w:rsidR="00131AD0">
        <w:t>in a future</w:t>
      </w:r>
      <w:r w:rsidRPr="003B32FA">
        <w:t xml:space="preserve"> financial year to increase the quantity or quality of outputs provided, subject to the </w:t>
      </w:r>
      <w:r w:rsidR="006A4A2C">
        <w:t xml:space="preserve">approval </w:t>
      </w:r>
      <w:r>
        <w:t>of the Treasurer.</w:t>
      </w:r>
    </w:p>
    <w:p w14:paraId="6AC38BA6" w14:textId="198C831F" w:rsidR="00F308D0" w:rsidRDefault="00F308D0" w:rsidP="00F308D0">
      <w:pPr>
        <w:pStyle w:val="NormalIndent"/>
      </w:pPr>
      <w:r>
        <w:t>In contrast, a carryover implies that a Department has been unable to u</w:t>
      </w:r>
      <w:r w:rsidR="002A464A">
        <w:t xml:space="preserve">se </w:t>
      </w:r>
      <w:r>
        <w:t xml:space="preserve">the full appropriation amount in its output delivery, so there has been </w:t>
      </w:r>
      <w:r w:rsidRPr="00F308D0">
        <w:rPr>
          <w:i/>
        </w:rPr>
        <w:t>under-delivery</w:t>
      </w:r>
      <w:r>
        <w:t xml:space="preserve"> of the output.</w:t>
      </w:r>
      <w:r w:rsidR="00131AD0">
        <w:t xml:space="preserve"> It is the </w:t>
      </w:r>
      <w:r w:rsidR="006B5CC7">
        <w:t>G</w:t>
      </w:r>
      <w:r w:rsidR="00131AD0">
        <w:t>overnment’s prerogative whether or not to fund the output shortfall in the following financial year, or potentially to apply the funds to the delivery of an additional output initiative.</w:t>
      </w:r>
    </w:p>
    <w:p w14:paraId="6AD13DF0" w14:textId="77777777" w:rsidR="002536C8" w:rsidRDefault="002536C8" w:rsidP="000B672C">
      <w:pPr>
        <w:pStyle w:val="Heading3indent"/>
      </w:pPr>
      <w:r>
        <w:t>Update of budgets with carryover estimates</w:t>
      </w:r>
    </w:p>
    <w:p w14:paraId="784209D5" w14:textId="77777777" w:rsidR="002536C8" w:rsidRDefault="002536C8" w:rsidP="008552D7">
      <w:pPr>
        <w:pStyle w:val="NormalIndent"/>
      </w:pPr>
      <w:r>
        <w:t xml:space="preserve">Departments </w:t>
      </w:r>
      <w:r w:rsidR="008552D7">
        <w:t>should</w:t>
      </w:r>
      <w:r>
        <w:t xml:space="preserve"> include any forecast appropriation carryover est</w:t>
      </w:r>
      <w:r w:rsidR="008552D7">
        <w:t xml:space="preserve">imates in their annual budgets. They should also </w:t>
      </w:r>
      <w:r>
        <w:t>review and, if required, revise appropriation carryover estimates during each update of the Budget.</w:t>
      </w:r>
    </w:p>
    <w:p w14:paraId="18803514" w14:textId="77777777" w:rsidR="005476DA" w:rsidRDefault="005476DA" w:rsidP="005476DA">
      <w:pPr>
        <w:spacing w:before="0" w:after="200"/>
        <w:rPr>
          <w:i/>
          <w:lang w:eastAsia="en-US"/>
        </w:rPr>
      </w:pPr>
      <w:r>
        <w:rPr>
          <w:i/>
          <w:lang w:eastAsia="en-US"/>
        </w:rPr>
        <w:br w:type="page"/>
      </w:r>
    </w:p>
    <w:p w14:paraId="09810E1F" w14:textId="3E8F095D" w:rsidR="005476DA" w:rsidRDefault="00930EF7" w:rsidP="00696C7D">
      <w:pPr>
        <w:pStyle w:val="Heading2numbered"/>
      </w:pPr>
      <w:bookmarkStart w:id="327" w:name="_Toc476658112"/>
      <w:r>
        <w:lastRenderedPageBreak/>
        <w:t xml:space="preserve">Access to </w:t>
      </w:r>
      <w:r w:rsidR="00C540F6">
        <w:t xml:space="preserve">previously appropriated amounts </w:t>
      </w:r>
      <w:r>
        <w:t xml:space="preserve">under </w:t>
      </w:r>
      <w:r w:rsidR="006B5CC7">
        <w:t>s</w:t>
      </w:r>
      <w:r w:rsidR="00727C78">
        <w:t xml:space="preserve">ection 33 </w:t>
      </w:r>
      <w:r w:rsidR="00294DC5">
        <w:t xml:space="preserve">of the </w:t>
      </w:r>
      <w:r w:rsidR="00727C78">
        <w:t>FMA</w:t>
      </w:r>
      <w:bookmarkEnd w:id="327"/>
    </w:p>
    <w:tbl>
      <w:tblPr>
        <w:tblStyle w:val="Mandatory"/>
        <w:tblW w:w="7483" w:type="dxa"/>
        <w:tblLook w:val="0620" w:firstRow="1" w:lastRow="0" w:firstColumn="0" w:lastColumn="0" w:noHBand="1" w:noVBand="1"/>
      </w:tblPr>
      <w:tblGrid>
        <w:gridCol w:w="7483"/>
      </w:tblGrid>
      <w:tr w:rsidR="00373BB7" w:rsidRPr="00373BB7" w14:paraId="319ACC91" w14:textId="77777777" w:rsidTr="005A426D">
        <w:trPr>
          <w:cnfStyle w:val="100000000000" w:firstRow="1" w:lastRow="0" w:firstColumn="0" w:lastColumn="0" w:oddVBand="0" w:evenVBand="0" w:oddHBand="0" w:evenHBand="0" w:firstRowFirstColumn="0" w:firstRowLastColumn="0" w:lastRowFirstColumn="0" w:lastRowLastColumn="0"/>
        </w:trPr>
        <w:tc>
          <w:tcPr>
            <w:tcW w:w="7483" w:type="dxa"/>
          </w:tcPr>
          <w:p w14:paraId="3707642C" w14:textId="77777777" w:rsidR="00373BB7" w:rsidRPr="00E97BC8" w:rsidRDefault="00373BB7" w:rsidP="00C540F6">
            <w:pPr>
              <w:spacing w:before="120" w:after="60"/>
              <w:rPr>
                <w:sz w:val="20"/>
              </w:rPr>
            </w:pPr>
            <w:r w:rsidRPr="00E97BC8">
              <w:rPr>
                <w:sz w:val="20"/>
              </w:rPr>
              <w:t>Mandatory requirements</w:t>
            </w:r>
            <w:r w:rsidRPr="00E97BC8">
              <w:rPr>
                <w:sz w:val="20"/>
              </w:rPr>
              <w:br/>
            </w:r>
            <w:r w:rsidR="00930EF7" w:rsidRPr="00E97BC8">
              <w:rPr>
                <w:sz w:val="20"/>
              </w:rPr>
              <w:t xml:space="preserve">ACCESS TO </w:t>
            </w:r>
            <w:r w:rsidR="00C540F6" w:rsidRPr="00E97BC8">
              <w:rPr>
                <w:sz w:val="20"/>
              </w:rPr>
              <w:t>PREVIOUSLY APPROPRIATED AMOUNTS</w:t>
            </w:r>
            <w:r w:rsidR="00930EF7" w:rsidRPr="00E97BC8">
              <w:rPr>
                <w:sz w:val="20"/>
              </w:rPr>
              <w:t xml:space="preserve"> UNDER </w:t>
            </w:r>
            <w:r w:rsidR="00D555F5" w:rsidRPr="00E97BC8">
              <w:rPr>
                <w:sz w:val="20"/>
              </w:rPr>
              <w:t>SECTION 33 OF THE FMA</w:t>
            </w:r>
          </w:p>
        </w:tc>
      </w:tr>
      <w:tr w:rsidR="00373BB7" w:rsidRPr="00373BB7" w14:paraId="12872B43" w14:textId="77777777" w:rsidTr="005A426D">
        <w:trPr>
          <w:trHeight w:val="589"/>
        </w:trPr>
        <w:tc>
          <w:tcPr>
            <w:tcW w:w="7483" w:type="dxa"/>
          </w:tcPr>
          <w:p w14:paraId="1AA6B5B0" w14:textId="68612832" w:rsidR="00373BB7" w:rsidRDefault="00E97BC8" w:rsidP="00DA412B">
            <w:pPr>
              <w:pStyle w:val="Heading3numbered"/>
              <w:numPr>
                <w:ilvl w:val="4"/>
                <w:numId w:val="47"/>
              </w:numPr>
            </w:pPr>
            <w:bookmarkStart w:id="328" w:name="_Toc476658113"/>
            <w:r>
              <w:t xml:space="preserve">Applications of </w:t>
            </w:r>
            <w:r w:rsidR="00215442">
              <w:t>s</w:t>
            </w:r>
            <w:r w:rsidR="00373BB7" w:rsidRPr="00373BB7">
              <w:t>ection 33</w:t>
            </w:r>
            <w:r w:rsidR="00D06691">
              <w:t xml:space="preserve"> </w:t>
            </w:r>
            <w:r>
              <w:t xml:space="preserve">of the </w:t>
            </w:r>
            <w:r w:rsidR="00D06691">
              <w:t>FMA</w:t>
            </w:r>
            <w:bookmarkEnd w:id="328"/>
          </w:p>
          <w:p w14:paraId="0894E0B5" w14:textId="725004A4" w:rsidR="00DE31F7" w:rsidRDefault="00DE31F7" w:rsidP="00DE31F7">
            <w:pPr>
              <w:spacing w:before="100"/>
              <w:ind w:left="792"/>
            </w:pPr>
            <w:r w:rsidRPr="00373BB7">
              <w:t xml:space="preserve">A Department may apply for access </w:t>
            </w:r>
            <w:r>
              <w:t xml:space="preserve">to previously appropriated amounts </w:t>
            </w:r>
            <w:r w:rsidRPr="00373BB7">
              <w:t xml:space="preserve">under </w:t>
            </w:r>
            <w:r w:rsidR="00215442">
              <w:t>s</w:t>
            </w:r>
            <w:r w:rsidRPr="00373BB7">
              <w:t xml:space="preserve">ection 33 of the FMA </w:t>
            </w:r>
            <w:r>
              <w:t>for one of the following:</w:t>
            </w:r>
          </w:p>
          <w:p w14:paraId="527D22F8" w14:textId="3A6B9650" w:rsidR="00DE31F7" w:rsidRDefault="00CA2CBB" w:rsidP="00DE31F7">
            <w:pPr>
              <w:pStyle w:val="Bulletindent"/>
            </w:pPr>
            <w:r>
              <w:t>u</w:t>
            </w:r>
            <w:r w:rsidR="00DE31F7">
              <w:t>se of prior years’ surpluses</w:t>
            </w:r>
            <w:r w:rsidR="00A2569E">
              <w:t>;</w:t>
            </w:r>
          </w:p>
          <w:p w14:paraId="2B3131D6" w14:textId="3E39D6E7" w:rsidR="00131AD0" w:rsidRDefault="00092168" w:rsidP="00DE31F7">
            <w:pPr>
              <w:pStyle w:val="Bulletindent"/>
            </w:pPr>
            <w:r>
              <w:t xml:space="preserve">Long Service Leave </w:t>
            </w:r>
            <w:r w:rsidR="00215442">
              <w:t xml:space="preserve">(LSL) </w:t>
            </w:r>
            <w:r>
              <w:t xml:space="preserve">funding accumulated in </w:t>
            </w:r>
            <w:r w:rsidR="00DE31F7">
              <w:t>prior years</w:t>
            </w:r>
            <w:r w:rsidR="00A2569E">
              <w:t xml:space="preserve">; </w:t>
            </w:r>
          </w:p>
          <w:p w14:paraId="25B36C2C" w14:textId="583E7E74" w:rsidR="00DE31F7" w:rsidRDefault="00CA2CBB" w:rsidP="00DE31F7">
            <w:pPr>
              <w:pStyle w:val="Bulletindent"/>
            </w:pPr>
            <w:r>
              <w:t>p</w:t>
            </w:r>
            <w:r w:rsidR="00131AD0">
              <w:t xml:space="preserve">ayment of outstanding creditors or other accrued obligations; </w:t>
            </w:r>
            <w:r w:rsidR="00A2569E">
              <w:t>or</w:t>
            </w:r>
          </w:p>
          <w:p w14:paraId="6F4992EC" w14:textId="7CEA1F15" w:rsidR="00DE31F7" w:rsidRPr="00DE31F7" w:rsidRDefault="00CA2CBB" w:rsidP="008B0CC7">
            <w:pPr>
              <w:pStyle w:val="Bulletindent"/>
            </w:pPr>
            <w:r>
              <w:t>d</w:t>
            </w:r>
            <w:r w:rsidR="00092168">
              <w:t xml:space="preserve">epreciation </w:t>
            </w:r>
            <w:r>
              <w:t>e</w:t>
            </w:r>
            <w:r w:rsidR="00DE31F7">
              <w:t xml:space="preserve">quivalent </w:t>
            </w:r>
            <w:r w:rsidR="00092168">
              <w:t>funding accumulated in prior years (</w:t>
            </w:r>
            <w:r w:rsidR="00DE31F7">
              <w:t>for funding asset investment</w:t>
            </w:r>
            <w:r w:rsidR="00092168">
              <w:t xml:space="preserve"> only)</w:t>
            </w:r>
            <w:r w:rsidR="00A2569E">
              <w:t>.</w:t>
            </w:r>
          </w:p>
          <w:p w14:paraId="749657C0" w14:textId="725876A5" w:rsidR="00DE31F7" w:rsidRPr="00DE31F7" w:rsidRDefault="00DE31F7" w:rsidP="00DA412B">
            <w:pPr>
              <w:pStyle w:val="Heading3numbered"/>
              <w:numPr>
                <w:ilvl w:val="4"/>
                <w:numId w:val="47"/>
              </w:numPr>
            </w:pPr>
            <w:bookmarkStart w:id="329" w:name="_Toc476658114"/>
            <w:r w:rsidRPr="00373BB7">
              <w:t xml:space="preserve">Process and requirements for </w:t>
            </w:r>
            <w:r w:rsidR="00215442">
              <w:t>s</w:t>
            </w:r>
            <w:r w:rsidRPr="00373BB7">
              <w:t>ection 33</w:t>
            </w:r>
            <w:r>
              <w:t xml:space="preserve"> </w:t>
            </w:r>
            <w:r w:rsidR="00E97BC8">
              <w:t xml:space="preserve">of the </w:t>
            </w:r>
            <w:r>
              <w:t>FMA</w:t>
            </w:r>
            <w:bookmarkEnd w:id="329"/>
          </w:p>
          <w:p w14:paraId="46B14FDE" w14:textId="2E0A76A1" w:rsidR="00373BB7" w:rsidRDefault="00B1370B" w:rsidP="00373BB7">
            <w:pPr>
              <w:spacing w:before="100"/>
              <w:ind w:left="792"/>
            </w:pPr>
            <w:r w:rsidRPr="00B1370B">
              <w:t xml:space="preserve">In preparing a letter from a Minister to the Treasurer </w:t>
            </w:r>
            <w:r>
              <w:t xml:space="preserve">or the relevant </w:t>
            </w:r>
            <w:r w:rsidR="00215442">
              <w:t>C</w:t>
            </w:r>
            <w:r>
              <w:t xml:space="preserve">abinet committee to access one of the sources of funding in 1.8.1 under </w:t>
            </w:r>
            <w:r w:rsidR="00215442">
              <w:t>s</w:t>
            </w:r>
            <w:r>
              <w:t xml:space="preserve">ection 33 of the FMA, </w:t>
            </w:r>
            <w:r w:rsidRPr="00B1370B">
              <w:t>a Department must ensure the letter includes:</w:t>
            </w:r>
          </w:p>
          <w:p w14:paraId="1B51DFE0" w14:textId="77777777" w:rsidR="00CB46F4" w:rsidRDefault="00CB46F4" w:rsidP="00CB46F4">
            <w:pPr>
              <w:pStyle w:val="Listnumindent"/>
            </w:pPr>
            <w:r>
              <w:t>the reasons for the funding request;</w:t>
            </w:r>
          </w:p>
          <w:p w14:paraId="2F066141" w14:textId="77777777" w:rsidR="00CB46F4" w:rsidRDefault="00CB46F4" w:rsidP="00CB46F4">
            <w:pPr>
              <w:pStyle w:val="Listnumindent"/>
            </w:pPr>
            <w:r>
              <w:t>the quantum of the funding sought;</w:t>
            </w:r>
          </w:p>
          <w:p w14:paraId="22CDBC07" w14:textId="77777777" w:rsidR="00CB46F4" w:rsidRDefault="00CB46F4" w:rsidP="00CB46F4">
            <w:pPr>
              <w:pStyle w:val="Listnumindent"/>
            </w:pPr>
            <w:r>
              <w:t>how the purpose of the funding request aligns with Government objectives; and</w:t>
            </w:r>
          </w:p>
          <w:p w14:paraId="49B321F9" w14:textId="77777777" w:rsidR="00CB46F4" w:rsidRDefault="00CB46F4" w:rsidP="00CB46F4">
            <w:pPr>
              <w:pStyle w:val="Listnumindent"/>
            </w:pPr>
            <w:r>
              <w:t>any proposed adjustments to output and financial performance targets arising from the request.</w:t>
            </w:r>
          </w:p>
          <w:p w14:paraId="782B2798" w14:textId="6275CAD7" w:rsidR="00373BB7" w:rsidRPr="00373BB7" w:rsidRDefault="00373BB7" w:rsidP="00816278">
            <w:pPr>
              <w:pStyle w:val="Heading3numbered"/>
            </w:pPr>
            <w:bookmarkStart w:id="330" w:name="_Toc476658115"/>
            <w:r w:rsidRPr="00373BB7">
              <w:t xml:space="preserve">Reporting on </w:t>
            </w:r>
            <w:r w:rsidR="00215442">
              <w:t>s</w:t>
            </w:r>
            <w:r w:rsidRPr="00373BB7">
              <w:t>ection 33 FMA expenditure</w:t>
            </w:r>
            <w:bookmarkEnd w:id="330"/>
          </w:p>
          <w:p w14:paraId="2A9ADFC4" w14:textId="263AF682" w:rsidR="00515605" w:rsidRPr="00373BB7" w:rsidRDefault="00373BB7" w:rsidP="00215442">
            <w:pPr>
              <w:spacing w:before="100"/>
              <w:ind w:left="792"/>
            </w:pPr>
            <w:r w:rsidRPr="00373BB7">
              <w:t xml:space="preserve">All expenses and obligations to which any </w:t>
            </w:r>
            <w:r w:rsidR="00215442">
              <w:t>s</w:t>
            </w:r>
            <w:r w:rsidRPr="00373BB7">
              <w:t xml:space="preserve">ection 33 </w:t>
            </w:r>
            <w:r w:rsidR="00215442">
              <w:t xml:space="preserve">of the </w:t>
            </w:r>
            <w:r w:rsidRPr="00373BB7">
              <w:t>FMA is applied must be reported in the expenses and payments of the financial year in</w:t>
            </w:r>
            <w:r w:rsidR="00930EF7">
              <w:t xml:space="preserve"> which the </w:t>
            </w:r>
            <w:r w:rsidR="00A40175">
              <w:t>amount</w:t>
            </w:r>
            <w:r w:rsidR="00930EF7">
              <w:t xml:space="preserve"> was made</w:t>
            </w:r>
            <w:r w:rsidR="00A40175">
              <w:t xml:space="preserve"> available</w:t>
            </w:r>
            <w:r w:rsidR="00930EF7">
              <w:t>.</w:t>
            </w:r>
          </w:p>
        </w:tc>
      </w:tr>
    </w:tbl>
    <w:p w14:paraId="669360A3" w14:textId="77777777" w:rsidR="00373BB7" w:rsidRPr="00373BB7" w:rsidRDefault="00373BB7" w:rsidP="00373BB7">
      <w:pPr>
        <w:spacing w:before="0" w:after="0" w:line="120" w:lineRule="atLeast"/>
        <w:rPr>
          <w:rFonts w:eastAsia="Times New Roman" w:cs="Calibri"/>
          <w:spacing w:val="0"/>
          <w:sz w:val="10"/>
          <w:szCs w:val="22"/>
        </w:rPr>
      </w:pPr>
    </w:p>
    <w:p w14:paraId="3EEF2901" w14:textId="77777777" w:rsidR="00373BB7" w:rsidRPr="00862803" w:rsidRDefault="00373BB7" w:rsidP="00056F4E">
      <w:pPr>
        <w:pStyle w:val="Heading2indent"/>
      </w:pPr>
      <w:r w:rsidRPr="00862803">
        <w:t>Guidance</w:t>
      </w:r>
    </w:p>
    <w:p w14:paraId="7804D264" w14:textId="3F0FB0BE" w:rsidR="007E749A" w:rsidRPr="00373BB7" w:rsidRDefault="007E749A" w:rsidP="000B672C">
      <w:pPr>
        <w:pStyle w:val="Heading3indent"/>
      </w:pPr>
      <w:r w:rsidRPr="00373BB7">
        <w:t xml:space="preserve">The use of </w:t>
      </w:r>
      <w:r w:rsidR="00215442">
        <w:t>s</w:t>
      </w:r>
      <w:r w:rsidRPr="00373BB7">
        <w:t>ection 33 of the FMA</w:t>
      </w:r>
    </w:p>
    <w:p w14:paraId="6C084E05" w14:textId="0EE6FF89" w:rsidR="00C14D27" w:rsidRDefault="00C14D27" w:rsidP="00C14D27">
      <w:pPr>
        <w:spacing w:line="252" w:lineRule="auto"/>
        <w:ind w:left="792"/>
      </w:pPr>
      <w:r w:rsidRPr="00373BB7">
        <w:t>Section 33 of the FMA is the enabling authority (special appropriation) to access</w:t>
      </w:r>
      <w:r>
        <w:t xml:space="preserve"> </w:t>
      </w:r>
      <w:r w:rsidR="00A40175">
        <w:t xml:space="preserve">the accumulated </w:t>
      </w:r>
      <w:r>
        <w:t>balances</w:t>
      </w:r>
      <w:r w:rsidR="00A40175">
        <w:t xml:space="preserve"> of a Department</w:t>
      </w:r>
      <w:r w:rsidR="00215442">
        <w:t>’</w:t>
      </w:r>
      <w:r w:rsidR="00A40175">
        <w:t>s SAU receivables account</w:t>
      </w:r>
      <w:r>
        <w:t>, and r</w:t>
      </w:r>
      <w:r w:rsidRPr="00373BB7">
        <w:t>equires the Treasurer’s approval</w:t>
      </w:r>
      <w:r w:rsidR="00320842">
        <w:t xml:space="preserve"> </w:t>
      </w:r>
      <w:r w:rsidRPr="00373BB7">
        <w:t>to access the Consolidated Fund.</w:t>
      </w:r>
    </w:p>
    <w:p w14:paraId="5E44AE4E" w14:textId="035D238E" w:rsidR="00320842" w:rsidRDefault="00320842" w:rsidP="00C14D27">
      <w:pPr>
        <w:spacing w:line="252" w:lineRule="auto"/>
        <w:ind w:left="792"/>
      </w:pPr>
      <w:r>
        <w:t>Warrant is required for section 33 requests.</w:t>
      </w:r>
    </w:p>
    <w:p w14:paraId="15A61439" w14:textId="57FC48DB" w:rsidR="008462A7" w:rsidRDefault="008462A7" w:rsidP="008462A7">
      <w:pPr>
        <w:spacing w:line="252" w:lineRule="auto"/>
        <w:ind w:left="792"/>
      </w:pPr>
      <w:r>
        <w:t xml:space="preserve">For specific guidance on </w:t>
      </w:r>
      <w:r w:rsidR="00092168">
        <w:t xml:space="preserve">when </w:t>
      </w:r>
      <w:r w:rsidR="00215442">
        <w:t>s</w:t>
      </w:r>
      <w:r>
        <w:t>ection 33</w:t>
      </w:r>
      <w:r w:rsidR="00092168">
        <w:t xml:space="preserve"> of the FMA may be ut</w:t>
      </w:r>
      <w:r w:rsidR="0015047B">
        <w:t>i</w:t>
      </w:r>
      <w:r w:rsidR="00092168">
        <w:t>lised</w:t>
      </w:r>
      <w:r>
        <w:t>, please refer to the following sections:</w:t>
      </w:r>
    </w:p>
    <w:p w14:paraId="1F6292AB" w14:textId="52264CA5" w:rsidR="008462A7" w:rsidRDefault="00215442" w:rsidP="00B47296">
      <w:pPr>
        <w:pStyle w:val="Bulletindent"/>
      </w:pPr>
      <w:r>
        <w:t>d</w:t>
      </w:r>
      <w:r w:rsidR="007E749A" w:rsidRPr="00373BB7">
        <w:t>epartmental surpluses</w:t>
      </w:r>
      <w:r w:rsidR="00B9490D">
        <w:t xml:space="preserve"> (</w:t>
      </w:r>
      <w:r>
        <w:t>S</w:t>
      </w:r>
      <w:r w:rsidR="006979A0">
        <w:t>ection 2.1</w:t>
      </w:r>
      <w:r w:rsidR="008462A7">
        <w:t>)</w:t>
      </w:r>
      <w:r w:rsidR="006979A0">
        <w:t>;</w:t>
      </w:r>
    </w:p>
    <w:p w14:paraId="23A17A4C" w14:textId="08911DA6" w:rsidR="00A64CC8" w:rsidRDefault="00215442" w:rsidP="00B47296">
      <w:pPr>
        <w:pStyle w:val="Bulletindent"/>
      </w:pPr>
      <w:r>
        <w:t>d</w:t>
      </w:r>
      <w:r w:rsidR="00A64CC8">
        <w:t>epreciation</w:t>
      </w:r>
      <w:r w:rsidR="00B9490D">
        <w:t xml:space="preserve"> </w:t>
      </w:r>
      <w:r w:rsidR="00CA2CBB">
        <w:t>e</w:t>
      </w:r>
      <w:r w:rsidR="00B9490D">
        <w:t>quivalent balances (</w:t>
      </w:r>
      <w:r>
        <w:t>S</w:t>
      </w:r>
      <w:r w:rsidR="006979A0">
        <w:t>ection 2.2</w:t>
      </w:r>
      <w:r w:rsidR="00A64CC8">
        <w:t xml:space="preserve">), and </w:t>
      </w:r>
    </w:p>
    <w:p w14:paraId="04DD76BA" w14:textId="3CA07DAD" w:rsidR="008462A7" w:rsidRDefault="00A64CC8" w:rsidP="00B47296">
      <w:pPr>
        <w:pStyle w:val="Bulletindent"/>
      </w:pPr>
      <w:r>
        <w:t>LSL</w:t>
      </w:r>
      <w:r w:rsidR="008462A7">
        <w:t xml:space="preserve"> </w:t>
      </w:r>
      <w:r w:rsidR="00215442">
        <w:t>e</w:t>
      </w:r>
      <w:r w:rsidR="008462A7">
        <w:t>quivalent balances (</w:t>
      </w:r>
      <w:r w:rsidR="00215442">
        <w:t>S</w:t>
      </w:r>
      <w:r w:rsidR="006979A0">
        <w:t>ection 2.3</w:t>
      </w:r>
      <w:r>
        <w:t>).</w:t>
      </w:r>
    </w:p>
    <w:p w14:paraId="65FC7DEE" w14:textId="740219CE" w:rsidR="00755D9B" w:rsidRPr="00402C76" w:rsidRDefault="002707CE" w:rsidP="00755D9B">
      <w:pPr>
        <w:pStyle w:val="Heading2numbered"/>
      </w:pPr>
      <w:bookmarkStart w:id="331" w:name="_Toc476658116"/>
      <w:r>
        <w:lastRenderedPageBreak/>
        <w:t>Public Account Advance</w:t>
      </w:r>
      <w:r w:rsidR="0007090A">
        <w:t>s</w:t>
      </w:r>
      <w:r w:rsidR="00755D9B">
        <w:t xml:space="preserve"> </w:t>
      </w:r>
      <w:r w:rsidR="00755D9B" w:rsidRPr="00402C76">
        <w:t xml:space="preserve">– </w:t>
      </w:r>
      <w:r w:rsidR="00215442">
        <w:t>s</w:t>
      </w:r>
      <w:r w:rsidR="00755D9B" w:rsidRPr="00402C76">
        <w:t xml:space="preserve">ection </w:t>
      </w:r>
      <w:r w:rsidR="00755D9B">
        <w:t>37</w:t>
      </w:r>
      <w:r w:rsidR="00755D9B" w:rsidRPr="00402C76">
        <w:t xml:space="preserve"> of the FMA</w:t>
      </w:r>
      <w:bookmarkEnd w:id="331"/>
    </w:p>
    <w:tbl>
      <w:tblPr>
        <w:tblStyle w:val="Mandatory"/>
        <w:tblW w:w="7483" w:type="dxa"/>
        <w:tblLook w:val="0620" w:firstRow="1" w:lastRow="0" w:firstColumn="0" w:lastColumn="0" w:noHBand="1" w:noVBand="1"/>
      </w:tblPr>
      <w:tblGrid>
        <w:gridCol w:w="7483"/>
      </w:tblGrid>
      <w:tr w:rsidR="00755D9B" w:rsidRPr="00402C76" w14:paraId="7329F757" w14:textId="77777777" w:rsidTr="00E0637B">
        <w:trPr>
          <w:cnfStyle w:val="100000000000" w:firstRow="1" w:lastRow="0" w:firstColumn="0" w:lastColumn="0" w:oddVBand="0" w:evenVBand="0" w:oddHBand="0" w:evenHBand="0" w:firstRowFirstColumn="0" w:firstRowLastColumn="0" w:lastRowFirstColumn="0" w:lastRowLastColumn="0"/>
        </w:trPr>
        <w:tc>
          <w:tcPr>
            <w:tcW w:w="7483" w:type="dxa"/>
          </w:tcPr>
          <w:p w14:paraId="227810D1" w14:textId="461F387A" w:rsidR="00755D9B" w:rsidRPr="007D39B6" w:rsidRDefault="00755D9B" w:rsidP="0007090A">
            <w:pPr>
              <w:spacing w:before="120" w:after="60"/>
              <w:rPr>
                <w:sz w:val="20"/>
              </w:rPr>
            </w:pPr>
            <w:r w:rsidRPr="007D39B6">
              <w:rPr>
                <w:sz w:val="20"/>
              </w:rPr>
              <w:t>Mandatory requirements</w:t>
            </w:r>
            <w:r w:rsidRPr="007D39B6">
              <w:rPr>
                <w:sz w:val="20"/>
              </w:rPr>
              <w:br/>
            </w:r>
            <w:r w:rsidR="0007090A" w:rsidRPr="007D39B6">
              <w:rPr>
                <w:sz w:val="20"/>
              </w:rPr>
              <w:t>PUBLIC ACCOUNT ADVANCES</w:t>
            </w:r>
            <w:r w:rsidRPr="007D39B6">
              <w:rPr>
                <w:sz w:val="20"/>
              </w:rPr>
              <w:t xml:space="preserve"> (S</w:t>
            </w:r>
            <w:r w:rsidR="007D39B6" w:rsidRPr="007D39B6">
              <w:rPr>
                <w:sz w:val="20"/>
              </w:rPr>
              <w:t>ECTION</w:t>
            </w:r>
            <w:r w:rsidRPr="007D39B6">
              <w:rPr>
                <w:sz w:val="20"/>
              </w:rPr>
              <w:t xml:space="preserve"> </w:t>
            </w:r>
            <w:r w:rsidR="005C5BED" w:rsidRPr="007D39B6">
              <w:rPr>
                <w:sz w:val="20"/>
              </w:rPr>
              <w:t>37</w:t>
            </w:r>
            <w:r w:rsidRPr="007D39B6">
              <w:rPr>
                <w:sz w:val="20"/>
              </w:rPr>
              <w:t xml:space="preserve"> </w:t>
            </w:r>
            <w:r w:rsidR="007D39B6" w:rsidRPr="007D39B6">
              <w:rPr>
                <w:sz w:val="20"/>
              </w:rPr>
              <w:t xml:space="preserve">OF THE </w:t>
            </w:r>
            <w:r w:rsidRPr="007D39B6">
              <w:rPr>
                <w:sz w:val="20"/>
              </w:rPr>
              <w:t>FMA)</w:t>
            </w:r>
          </w:p>
        </w:tc>
      </w:tr>
      <w:tr w:rsidR="00755D9B" w:rsidRPr="00402C76" w14:paraId="7045DA29" w14:textId="77777777" w:rsidTr="00E0637B">
        <w:trPr>
          <w:trHeight w:val="589"/>
        </w:trPr>
        <w:tc>
          <w:tcPr>
            <w:tcW w:w="7483" w:type="dxa"/>
          </w:tcPr>
          <w:p w14:paraId="2C02C782" w14:textId="0FA4EA60" w:rsidR="00755D9B" w:rsidRPr="00BA62BD" w:rsidRDefault="00755D9B" w:rsidP="00DA412B">
            <w:pPr>
              <w:pStyle w:val="Heading3numbered"/>
              <w:numPr>
                <w:ilvl w:val="4"/>
                <w:numId w:val="59"/>
              </w:numPr>
            </w:pPr>
            <w:bookmarkStart w:id="332" w:name="_Toc476658117"/>
            <w:r w:rsidRPr="00BA62BD">
              <w:t xml:space="preserve">Process and requirements for </w:t>
            </w:r>
            <w:r w:rsidR="00215442">
              <w:t>s</w:t>
            </w:r>
            <w:r w:rsidRPr="00BA62BD">
              <w:t xml:space="preserve">ection </w:t>
            </w:r>
            <w:r>
              <w:t>37</w:t>
            </w:r>
            <w:r w:rsidRPr="00BA62BD">
              <w:t xml:space="preserve"> </w:t>
            </w:r>
            <w:r w:rsidR="002707CE">
              <w:t>Public Account Advance</w:t>
            </w:r>
            <w:r w:rsidRPr="00BA62BD">
              <w:t xml:space="preserve"> requests</w:t>
            </w:r>
            <w:bookmarkEnd w:id="332"/>
          </w:p>
          <w:p w14:paraId="01AC864B" w14:textId="395AE2DE" w:rsidR="00755D9B" w:rsidRDefault="00F86C5D" w:rsidP="00E0637B">
            <w:pPr>
              <w:spacing w:before="100"/>
              <w:ind w:left="792"/>
            </w:pPr>
            <w:r w:rsidRPr="005008FD">
              <w:t xml:space="preserve">In an application by a </w:t>
            </w:r>
            <w:r w:rsidR="00C068D2">
              <w:t>M</w:t>
            </w:r>
            <w:r w:rsidRPr="005008FD">
              <w:t xml:space="preserve">inister to the Treasurer for </w:t>
            </w:r>
            <w:r>
              <w:t>advances from Section 37 of the FMA</w:t>
            </w:r>
            <w:r w:rsidRPr="005008FD">
              <w:t xml:space="preserve">, the Department must prepare a letter to support the application with information </w:t>
            </w:r>
            <w:r w:rsidR="00215442">
              <w:t>including</w:t>
            </w:r>
            <w:r w:rsidRPr="005008FD">
              <w:t>:</w:t>
            </w:r>
          </w:p>
          <w:p w14:paraId="52A8AA56" w14:textId="77777777" w:rsidR="00755D9B" w:rsidRDefault="00755D9B" w:rsidP="00E0637B">
            <w:pPr>
              <w:pStyle w:val="Listnumindent"/>
            </w:pPr>
            <w:r>
              <w:t>the reasons for the request;</w:t>
            </w:r>
          </w:p>
          <w:p w14:paraId="2B9B7CD6" w14:textId="0C36A96C" w:rsidR="00755D9B" w:rsidRDefault="00755D9B" w:rsidP="00E0637B">
            <w:pPr>
              <w:pStyle w:val="Listnumindent"/>
            </w:pPr>
            <w:r>
              <w:t xml:space="preserve">the quantum of the </w:t>
            </w:r>
            <w:r w:rsidR="00421C63">
              <w:t xml:space="preserve">amount </w:t>
            </w:r>
            <w:r>
              <w:t>sought;</w:t>
            </w:r>
          </w:p>
          <w:p w14:paraId="0710F530" w14:textId="77777777" w:rsidR="00755D9B" w:rsidRPr="002C566B" w:rsidRDefault="00755D9B" w:rsidP="00E0637B">
            <w:pPr>
              <w:pStyle w:val="Listnumindent"/>
            </w:pPr>
            <w:r w:rsidRPr="002C566B">
              <w:t>that there are no other sources available to fund the request;</w:t>
            </w:r>
          </w:p>
          <w:p w14:paraId="309AE4F1" w14:textId="77777777" w:rsidR="00755D9B" w:rsidRDefault="00755D9B" w:rsidP="00E0637B">
            <w:pPr>
              <w:pStyle w:val="Listnumindent"/>
            </w:pPr>
            <w:r>
              <w:t>how the funding request aligns with Government objectives;</w:t>
            </w:r>
          </w:p>
          <w:p w14:paraId="414DB55C" w14:textId="77777777" w:rsidR="00755D9B" w:rsidRDefault="00755D9B" w:rsidP="00E0637B">
            <w:pPr>
              <w:pStyle w:val="Listnumindent"/>
            </w:pPr>
            <w:r>
              <w:t>any proposed adjustments to output and financial performance targets arising from the request;</w:t>
            </w:r>
          </w:p>
          <w:p w14:paraId="5D337305" w14:textId="280E4F81" w:rsidR="00755D9B" w:rsidRDefault="00755D9B" w:rsidP="00E0637B">
            <w:pPr>
              <w:pStyle w:val="Listnumindent"/>
            </w:pPr>
            <w:r>
              <w:t xml:space="preserve">supporting cash flow projections </w:t>
            </w:r>
            <w:r w:rsidR="00F86C5D">
              <w:t xml:space="preserve">over the forward estimates </w:t>
            </w:r>
            <w:r>
              <w:t xml:space="preserve">and </w:t>
            </w:r>
            <w:r w:rsidR="00A03AE3">
              <w:t xml:space="preserve">the </w:t>
            </w:r>
            <w:r>
              <w:t xml:space="preserve">proposed </w:t>
            </w:r>
            <w:r w:rsidR="00A03AE3">
              <w:t xml:space="preserve">source of funds to meet the </w:t>
            </w:r>
            <w:r>
              <w:t>repayment schedule</w:t>
            </w:r>
            <w:r w:rsidR="004F7BBC">
              <w:t xml:space="preserve"> with expected timeframes</w:t>
            </w:r>
            <w:r>
              <w:t>;</w:t>
            </w:r>
            <w:r w:rsidR="00F86C5D">
              <w:t xml:space="preserve"> and</w:t>
            </w:r>
          </w:p>
          <w:p w14:paraId="19D0768A" w14:textId="6EBE4419" w:rsidR="00755D9B" w:rsidRPr="00577B71" w:rsidRDefault="00755D9B" w:rsidP="00E0637B">
            <w:pPr>
              <w:pStyle w:val="Listnumindent"/>
            </w:pPr>
            <w:r>
              <w:t xml:space="preserve">any funding variations previously approved by the Treasurer or the relevant Cabinet </w:t>
            </w:r>
            <w:r w:rsidR="00215442">
              <w:t>c</w:t>
            </w:r>
            <w:r>
              <w:t>ommittee for the program seeking</w:t>
            </w:r>
            <w:r w:rsidR="004F7BBC">
              <w:t xml:space="preserve"> the advance</w:t>
            </w:r>
            <w:r>
              <w:t>.</w:t>
            </w:r>
          </w:p>
          <w:p w14:paraId="6D6038F0" w14:textId="1447710A" w:rsidR="00755D9B" w:rsidRPr="00402C76" w:rsidRDefault="00755D9B" w:rsidP="00E0637B">
            <w:pPr>
              <w:pStyle w:val="Heading3numbered"/>
            </w:pPr>
            <w:bookmarkStart w:id="333" w:name="_Toc476658118"/>
            <w:r w:rsidRPr="00402C76">
              <w:t xml:space="preserve">Reporting on </w:t>
            </w:r>
            <w:r w:rsidR="00215442">
              <w:t>s</w:t>
            </w:r>
            <w:r w:rsidR="004F7BBC" w:rsidRPr="00BA62BD">
              <w:t xml:space="preserve">ection </w:t>
            </w:r>
            <w:r w:rsidR="004F7BBC">
              <w:t>37</w:t>
            </w:r>
            <w:r w:rsidR="004F7BBC" w:rsidRPr="00BA62BD">
              <w:t xml:space="preserve"> </w:t>
            </w:r>
            <w:r w:rsidR="004F7BBC">
              <w:t>Public Account Advance</w:t>
            </w:r>
            <w:r w:rsidR="005C5BED" w:rsidRPr="00BA62BD">
              <w:t xml:space="preserve"> requests</w:t>
            </w:r>
            <w:bookmarkEnd w:id="333"/>
          </w:p>
          <w:p w14:paraId="1F7540DB" w14:textId="13C84D26" w:rsidR="00755D9B" w:rsidRPr="00402C76" w:rsidRDefault="00755D9B" w:rsidP="00215442">
            <w:pPr>
              <w:spacing w:before="100"/>
              <w:ind w:left="792"/>
            </w:pPr>
            <w:r w:rsidRPr="00402C76">
              <w:t xml:space="preserve">All expenses and obligations to which any </w:t>
            </w:r>
            <w:r w:rsidR="00215442">
              <w:t>s</w:t>
            </w:r>
            <w:r w:rsidRPr="00402C76">
              <w:t xml:space="preserve">ection </w:t>
            </w:r>
            <w:r w:rsidR="005C5BED">
              <w:t>37</w:t>
            </w:r>
            <w:r>
              <w:t xml:space="preserve"> of the FMA</w:t>
            </w:r>
            <w:r w:rsidRPr="00402C76">
              <w:t xml:space="preserve"> is applied must be reported in the financial year in respect of which the advance(s) was made.</w:t>
            </w:r>
          </w:p>
        </w:tc>
      </w:tr>
    </w:tbl>
    <w:p w14:paraId="42CF5779" w14:textId="77777777" w:rsidR="00862803" w:rsidRPr="00862803" w:rsidRDefault="00862803" w:rsidP="00056F4E">
      <w:pPr>
        <w:pStyle w:val="Heading2indent"/>
      </w:pPr>
      <w:r w:rsidRPr="00862803">
        <w:t>Guidance</w:t>
      </w:r>
    </w:p>
    <w:p w14:paraId="275B8B1C" w14:textId="77777777" w:rsidR="00755D9B" w:rsidRPr="00402C76" w:rsidRDefault="00755D9B" w:rsidP="000B672C">
      <w:pPr>
        <w:pStyle w:val="Heading3indent"/>
      </w:pPr>
      <w:r w:rsidRPr="00402C76">
        <w:t>Definition</w:t>
      </w:r>
    </w:p>
    <w:p w14:paraId="7DF475F4" w14:textId="77777777" w:rsidR="00755D9B" w:rsidRDefault="00755D9B" w:rsidP="00755D9B">
      <w:pPr>
        <w:spacing w:line="252" w:lineRule="auto"/>
        <w:ind w:left="792"/>
      </w:pPr>
      <w:r w:rsidRPr="00402C76">
        <w:t xml:space="preserve">Section </w:t>
      </w:r>
      <w:r w:rsidR="005C5BED">
        <w:t>37</w:t>
      </w:r>
      <w:r w:rsidRPr="00402C76">
        <w:t xml:space="preserve"> of the FMA enables the </w:t>
      </w:r>
      <w:r w:rsidR="004F7BBC">
        <w:t xml:space="preserve">advancing </w:t>
      </w:r>
      <w:r w:rsidR="005C5BED">
        <w:t>of funds from the Public Account, to be repaid at a later point in time</w:t>
      </w:r>
      <w:r w:rsidRPr="00402C76">
        <w:t xml:space="preserve">. </w:t>
      </w:r>
    </w:p>
    <w:p w14:paraId="3CF7991C" w14:textId="01B9A237" w:rsidR="00320842" w:rsidRPr="00402C76" w:rsidRDefault="00320842" w:rsidP="00755D9B">
      <w:pPr>
        <w:spacing w:line="252" w:lineRule="auto"/>
        <w:ind w:left="792"/>
      </w:pPr>
      <w:r>
        <w:t xml:space="preserve">Warrant is </w:t>
      </w:r>
      <w:r w:rsidRPr="003D272A">
        <w:rPr>
          <w:b/>
        </w:rPr>
        <w:t>not</w:t>
      </w:r>
      <w:r>
        <w:t xml:space="preserve"> required for a section 37 request as it is not a drawdown from the Consolidated Fund.</w:t>
      </w:r>
    </w:p>
    <w:p w14:paraId="265E081B" w14:textId="77777777" w:rsidR="00755D9B" w:rsidRPr="00402C76" w:rsidRDefault="00755D9B" w:rsidP="000B672C">
      <w:pPr>
        <w:pStyle w:val="Heading3indent"/>
      </w:pPr>
      <w:r w:rsidRPr="00402C76">
        <w:t>Conditions</w:t>
      </w:r>
    </w:p>
    <w:p w14:paraId="0069AE08" w14:textId="06446D58" w:rsidR="00755D9B" w:rsidRDefault="005C5BED" w:rsidP="00755D9B">
      <w:pPr>
        <w:spacing w:line="252" w:lineRule="auto"/>
        <w:ind w:left="792"/>
      </w:pPr>
      <w:r>
        <w:t xml:space="preserve">The Treasurer’s approval is required for a </w:t>
      </w:r>
      <w:r w:rsidR="00215442">
        <w:t>s</w:t>
      </w:r>
      <w:r>
        <w:t xml:space="preserve">ection 37 </w:t>
      </w:r>
      <w:r w:rsidR="004F7BBC">
        <w:t xml:space="preserve">Public Account Advance, </w:t>
      </w:r>
      <w:r w:rsidR="00421C63">
        <w:t>which will provide the authority</w:t>
      </w:r>
      <w:r w:rsidR="004F7BBC">
        <w:t xml:space="preserve"> to draw down on the funds.</w:t>
      </w:r>
    </w:p>
    <w:p w14:paraId="7146218D" w14:textId="5F10E69A" w:rsidR="00F86C5D" w:rsidRDefault="005C5BED" w:rsidP="00755D9B">
      <w:pPr>
        <w:spacing w:line="252" w:lineRule="auto"/>
        <w:ind w:left="792"/>
      </w:pPr>
      <w:r>
        <w:t>Such an advance may be used</w:t>
      </w:r>
      <w:r w:rsidR="00A03AE3">
        <w:t xml:space="preserve"> as temporary (short-term) funding pending receipt of other revenues, including future year appropriations</w:t>
      </w:r>
      <w:r>
        <w:t xml:space="preserve"> </w:t>
      </w:r>
      <w:r w:rsidR="00F86C5D">
        <w:t>in the following circumstances (not a definitive list):</w:t>
      </w:r>
    </w:p>
    <w:p w14:paraId="2A82045A" w14:textId="77777777" w:rsidR="00F86C5D" w:rsidRDefault="005C5BED" w:rsidP="00B47296">
      <w:pPr>
        <w:pStyle w:val="Bulletindent"/>
      </w:pPr>
      <w:r>
        <w:t>to pay the outstanding bills of a Department or public body</w:t>
      </w:r>
      <w:r w:rsidR="00F86C5D">
        <w:t>;</w:t>
      </w:r>
      <w:r w:rsidR="008679C3">
        <w:t xml:space="preserve"> or</w:t>
      </w:r>
    </w:p>
    <w:p w14:paraId="58EDC8BC" w14:textId="0A2387D6" w:rsidR="005C5BED" w:rsidRPr="00402C76" w:rsidRDefault="008679C3" w:rsidP="00B47296">
      <w:pPr>
        <w:pStyle w:val="Bulletindent"/>
      </w:pPr>
      <w:r>
        <w:t xml:space="preserve">to bring forward funding of an investment or initiative </w:t>
      </w:r>
      <w:r w:rsidR="00215442">
        <w:t xml:space="preserve">that </w:t>
      </w:r>
      <w:r>
        <w:t>realises savings at a later point in time.</w:t>
      </w:r>
    </w:p>
    <w:p w14:paraId="353ABE8C" w14:textId="77777777" w:rsidR="00755D9B" w:rsidRDefault="005C5BED" w:rsidP="005C5BED">
      <w:pPr>
        <w:spacing w:line="252" w:lineRule="auto"/>
        <w:ind w:left="792"/>
      </w:pPr>
      <w:r>
        <w:t>Repayment of the advance is required, and interest m</w:t>
      </w:r>
      <w:r w:rsidR="004F7BBC">
        <w:t>ay be charged on such advances.</w:t>
      </w:r>
    </w:p>
    <w:p w14:paraId="79C6B8E3" w14:textId="33FAFDD8" w:rsidR="002F146A" w:rsidRPr="00402C76" w:rsidRDefault="002F146A" w:rsidP="005C5BED">
      <w:pPr>
        <w:spacing w:line="252" w:lineRule="auto"/>
        <w:ind w:left="792"/>
      </w:pPr>
      <w:r w:rsidRPr="002F146A">
        <w:t>Departments should also review and, if required, revise estimates during each update of the Budget</w:t>
      </w:r>
      <w:r>
        <w:t>,</w:t>
      </w:r>
      <w:r w:rsidR="00215442">
        <w:t xml:space="preserve"> noting </w:t>
      </w:r>
      <w:r w:rsidRPr="002F146A">
        <w:t>the Treasurer’s approval is required for any deviations from the agreed repayment schedule.</w:t>
      </w:r>
    </w:p>
    <w:p w14:paraId="64D0B368" w14:textId="77777777" w:rsidR="006C2540" w:rsidRDefault="00DC461F" w:rsidP="006C2540">
      <w:pPr>
        <w:pStyle w:val="Heading1numbered"/>
      </w:pPr>
      <w:bookmarkStart w:id="334" w:name="_Toc476658119"/>
      <w:bookmarkStart w:id="335" w:name="_Toc445459735"/>
      <w:r>
        <w:lastRenderedPageBreak/>
        <w:t>Accrual budgeting concepts</w:t>
      </w:r>
      <w:bookmarkEnd w:id="334"/>
    </w:p>
    <w:p w14:paraId="357F96B1" w14:textId="77777777" w:rsidR="00DC461F" w:rsidRDefault="00DC461F" w:rsidP="00DC461F">
      <w:pPr>
        <w:pStyle w:val="Heading2numbered"/>
      </w:pPr>
      <w:bookmarkStart w:id="336" w:name="_Toc332377503"/>
      <w:bookmarkStart w:id="337" w:name="_Toc332381887"/>
      <w:bookmarkStart w:id="338" w:name="_Toc332382719"/>
      <w:bookmarkStart w:id="339" w:name="_Toc332711506"/>
      <w:bookmarkStart w:id="340" w:name="_Toc476658120"/>
      <w:bookmarkStart w:id="341" w:name="_Toc445459752"/>
      <w:bookmarkStart w:id="342" w:name="_Toc446079419"/>
      <w:bookmarkStart w:id="343" w:name="_Toc445459747"/>
      <w:bookmarkEnd w:id="335"/>
      <w:bookmarkEnd w:id="336"/>
      <w:bookmarkEnd w:id="337"/>
      <w:bookmarkEnd w:id="338"/>
      <w:bookmarkEnd w:id="339"/>
      <w:r>
        <w:t>Departmental surpluses</w:t>
      </w:r>
      <w:bookmarkEnd w:id="340"/>
    </w:p>
    <w:tbl>
      <w:tblPr>
        <w:tblStyle w:val="Mandatory"/>
        <w:tblW w:w="7483" w:type="dxa"/>
        <w:tblLook w:val="0620" w:firstRow="1" w:lastRow="0" w:firstColumn="0" w:lastColumn="0" w:noHBand="1" w:noVBand="1"/>
      </w:tblPr>
      <w:tblGrid>
        <w:gridCol w:w="7483"/>
      </w:tblGrid>
      <w:tr w:rsidR="00DC461F" w:rsidRPr="00373BB7" w14:paraId="6AD61BEA" w14:textId="77777777" w:rsidTr="00AF7284">
        <w:trPr>
          <w:cnfStyle w:val="100000000000" w:firstRow="1" w:lastRow="0" w:firstColumn="0" w:lastColumn="0" w:oddVBand="0" w:evenVBand="0" w:oddHBand="0" w:evenHBand="0" w:firstRowFirstColumn="0" w:firstRowLastColumn="0" w:lastRowFirstColumn="0" w:lastRowLastColumn="0"/>
        </w:trPr>
        <w:tc>
          <w:tcPr>
            <w:tcW w:w="7483" w:type="dxa"/>
          </w:tcPr>
          <w:p w14:paraId="7AC4CC14" w14:textId="77777777" w:rsidR="00DC461F" w:rsidRPr="007D39B6" w:rsidRDefault="00DC461F" w:rsidP="00AF7284">
            <w:pPr>
              <w:spacing w:before="120" w:after="60"/>
              <w:rPr>
                <w:sz w:val="20"/>
              </w:rPr>
            </w:pPr>
            <w:r w:rsidRPr="007D39B6">
              <w:rPr>
                <w:sz w:val="20"/>
              </w:rPr>
              <w:t>Mandatory requirements</w:t>
            </w:r>
            <w:r w:rsidRPr="007D39B6">
              <w:rPr>
                <w:sz w:val="20"/>
              </w:rPr>
              <w:br/>
              <w:t>DEPARTMENTAL SURPLUSES</w:t>
            </w:r>
          </w:p>
        </w:tc>
      </w:tr>
      <w:tr w:rsidR="00DC461F" w:rsidRPr="00373BB7" w14:paraId="27EBB20B" w14:textId="77777777" w:rsidTr="00AF7284">
        <w:trPr>
          <w:trHeight w:val="589"/>
        </w:trPr>
        <w:tc>
          <w:tcPr>
            <w:tcW w:w="7483" w:type="dxa"/>
          </w:tcPr>
          <w:p w14:paraId="32F9DB91" w14:textId="77777777" w:rsidR="00DC461F" w:rsidRPr="00373BB7" w:rsidRDefault="00DC461F" w:rsidP="00DA412B">
            <w:pPr>
              <w:pStyle w:val="Heading3numbered"/>
              <w:numPr>
                <w:ilvl w:val="4"/>
                <w:numId w:val="48"/>
              </w:numPr>
            </w:pPr>
            <w:bookmarkStart w:id="344" w:name="_Toc476658121"/>
            <w:r w:rsidRPr="00373BB7">
              <w:t>Application of Departmental surpluses</w:t>
            </w:r>
            <w:bookmarkEnd w:id="344"/>
          </w:p>
          <w:p w14:paraId="36691162" w14:textId="77777777" w:rsidR="00DC461F" w:rsidRPr="00373BB7" w:rsidRDefault="00DC461F" w:rsidP="00AF7284">
            <w:pPr>
              <w:spacing w:before="60" w:after="60"/>
              <w:ind w:left="792"/>
            </w:pPr>
            <w:r>
              <w:t xml:space="preserve">A </w:t>
            </w:r>
            <w:r w:rsidRPr="00373BB7">
              <w:t>Departmental operating surplus on the provision of outputs may be applied at the discretion of the Department</w:t>
            </w:r>
            <w:r w:rsidR="002052AB">
              <w:t>,</w:t>
            </w:r>
            <w:r w:rsidRPr="00373BB7">
              <w:t xml:space="preserve"> </w:t>
            </w:r>
            <w:r w:rsidR="002052AB">
              <w:t>provided the following conditions are met</w:t>
            </w:r>
            <w:r w:rsidRPr="00373BB7">
              <w:t>:</w:t>
            </w:r>
          </w:p>
          <w:p w14:paraId="77CCAFEB" w14:textId="7089244D" w:rsidR="002052AB" w:rsidRDefault="00B05EF4" w:rsidP="00EB20AD">
            <w:pPr>
              <w:pStyle w:val="Listnumindent"/>
            </w:pPr>
            <w:r>
              <w:t>a</w:t>
            </w:r>
            <w:r w:rsidR="002052AB">
              <w:t xml:space="preserve"> request </w:t>
            </w:r>
            <w:r>
              <w:t>for access to surplus</w:t>
            </w:r>
            <w:r w:rsidR="00A23D10">
              <w:t>es</w:t>
            </w:r>
            <w:r>
              <w:t xml:space="preserve"> </w:t>
            </w:r>
            <w:r w:rsidR="002052AB">
              <w:t>must outline th</w:t>
            </w:r>
            <w:r w:rsidR="00EB20AD">
              <w:t>e intended use of the surplus;</w:t>
            </w:r>
          </w:p>
          <w:p w14:paraId="0285C9FA" w14:textId="77777777" w:rsidR="00DC461F" w:rsidRPr="00373BB7" w:rsidRDefault="00EB20AD" w:rsidP="00EB20AD">
            <w:pPr>
              <w:pStyle w:val="Listnumindent"/>
            </w:pPr>
            <w:r>
              <w:t>t</w:t>
            </w:r>
            <w:r w:rsidR="002052AB">
              <w:t xml:space="preserve">he surpluses </w:t>
            </w:r>
            <w:r w:rsidR="00DC461F" w:rsidRPr="00373BB7">
              <w:t>must be applied</w:t>
            </w:r>
            <w:r w:rsidR="00CF109D">
              <w:t xml:space="preserve"> for a purpose consistent with G</w:t>
            </w:r>
            <w:r w:rsidR="00DC461F" w:rsidRPr="00373BB7">
              <w:t>overnment objectives; and</w:t>
            </w:r>
          </w:p>
          <w:p w14:paraId="61A23C2F" w14:textId="4A900C9B" w:rsidR="002052AB" w:rsidRPr="002052AB" w:rsidRDefault="00DC461F" w:rsidP="00A03AE3">
            <w:pPr>
              <w:pStyle w:val="Listnumindent"/>
            </w:pPr>
            <w:r>
              <w:t xml:space="preserve">the </w:t>
            </w:r>
            <w:r w:rsidRPr="00373BB7">
              <w:t xml:space="preserve">use of Departmental surpluses </w:t>
            </w:r>
            <w:r>
              <w:t>is</w:t>
            </w:r>
            <w:r w:rsidR="00EB20AD">
              <w:t xml:space="preserve"> one-off in nature and</w:t>
            </w:r>
            <w:r w:rsidRPr="00373BB7">
              <w:t xml:space="preserve"> must not give rise to any future year commitment or customer expectations of future commitment.</w:t>
            </w:r>
          </w:p>
        </w:tc>
      </w:tr>
    </w:tbl>
    <w:p w14:paraId="181A07BF" w14:textId="77777777" w:rsidR="00DC461F" w:rsidRPr="00373BB7" w:rsidRDefault="00DC461F" w:rsidP="00DC461F">
      <w:pPr>
        <w:spacing w:before="0" w:after="0" w:line="120" w:lineRule="atLeast"/>
        <w:rPr>
          <w:rFonts w:eastAsia="Times New Roman" w:cs="Calibri"/>
          <w:spacing w:val="0"/>
          <w:sz w:val="10"/>
          <w:szCs w:val="22"/>
        </w:rPr>
      </w:pPr>
    </w:p>
    <w:p w14:paraId="39A7E342" w14:textId="77777777" w:rsidR="00DC461F" w:rsidRPr="00862803" w:rsidRDefault="00DC461F" w:rsidP="00056F4E">
      <w:pPr>
        <w:pStyle w:val="Heading2indent"/>
      </w:pPr>
      <w:r w:rsidRPr="00862803">
        <w:t>Guidance</w:t>
      </w:r>
    </w:p>
    <w:p w14:paraId="78C62FA4" w14:textId="0A391BDD" w:rsidR="00C14D27" w:rsidRPr="00373BB7" w:rsidRDefault="002B66BE" w:rsidP="00C14D27">
      <w:pPr>
        <w:spacing w:line="252" w:lineRule="auto"/>
        <w:ind w:left="792"/>
      </w:pPr>
      <w:r>
        <w:t>Output a</w:t>
      </w:r>
      <w:r w:rsidR="00C14D27">
        <w:t xml:space="preserve">ppropriation </w:t>
      </w:r>
      <w:r w:rsidR="00C14D27" w:rsidRPr="00373BB7">
        <w:t xml:space="preserve">is provided </w:t>
      </w:r>
      <w:r w:rsidR="00C14D27">
        <w:t xml:space="preserve">to Departments </w:t>
      </w:r>
      <w:r w:rsidR="00C14D27" w:rsidRPr="00373BB7">
        <w:t xml:space="preserve">by </w:t>
      </w:r>
      <w:r w:rsidR="00225E5C">
        <w:t>g</w:t>
      </w:r>
      <w:r w:rsidR="00C14D27" w:rsidRPr="00373BB7">
        <w:t>overnment as payment for the production o</w:t>
      </w:r>
      <w:r w:rsidR="00EB20AD">
        <w:t xml:space="preserve">f agreed services and outputs. </w:t>
      </w:r>
    </w:p>
    <w:p w14:paraId="661EB085" w14:textId="1D9CDEE0" w:rsidR="00C14D27" w:rsidRPr="00373BB7" w:rsidRDefault="000F4E0D" w:rsidP="00C14D27">
      <w:pPr>
        <w:spacing w:line="252" w:lineRule="auto"/>
        <w:ind w:left="792"/>
      </w:pPr>
      <w:r>
        <w:t>U</w:t>
      </w:r>
      <w:r w:rsidR="00C14D27">
        <w:t xml:space="preserve">nder </w:t>
      </w:r>
      <w:r>
        <w:t xml:space="preserve">this </w:t>
      </w:r>
      <w:r w:rsidR="008A6C9B">
        <w:t xml:space="preserve">funding model, </w:t>
      </w:r>
      <w:r w:rsidR="00225E5C">
        <w:t>g</w:t>
      </w:r>
      <w:r>
        <w:t>overnment</w:t>
      </w:r>
      <w:r w:rsidR="0073512B">
        <w:t xml:space="preserve"> pay</w:t>
      </w:r>
      <w:r w:rsidR="008A6C9B">
        <w:t>s</w:t>
      </w:r>
      <w:r w:rsidR="0073512B">
        <w:t xml:space="preserve"> a ‘price’ to Departments </w:t>
      </w:r>
      <w:r w:rsidR="008A6C9B">
        <w:t xml:space="preserve">(recognised as revenue) </w:t>
      </w:r>
      <w:r w:rsidR="0073512B">
        <w:t>for delivery of outputs</w:t>
      </w:r>
      <w:r w:rsidR="008A6C9B">
        <w:t>. I</w:t>
      </w:r>
      <w:r w:rsidR="00C14D27">
        <w:t xml:space="preserve">f a </w:t>
      </w:r>
      <w:r w:rsidR="00C14D27" w:rsidRPr="00373BB7">
        <w:t xml:space="preserve">Department </w:t>
      </w:r>
      <w:r w:rsidR="00A94FFE">
        <w:t>produces</w:t>
      </w:r>
      <w:r w:rsidR="0073512B">
        <w:t xml:space="preserve"> </w:t>
      </w:r>
      <w:r w:rsidR="008A6C9B">
        <w:t xml:space="preserve">outputs for less </w:t>
      </w:r>
      <w:r>
        <w:t xml:space="preserve">cost </w:t>
      </w:r>
      <w:r w:rsidR="008A6C9B">
        <w:t xml:space="preserve">than the revenue provided, it records a </w:t>
      </w:r>
      <w:r w:rsidR="0073512B">
        <w:t xml:space="preserve">surplus on these </w:t>
      </w:r>
      <w:r w:rsidR="00C14D27" w:rsidRPr="00373BB7">
        <w:t>outputs,</w:t>
      </w:r>
      <w:r>
        <w:t xml:space="preserve"> which is included in the balance of the Department’s </w:t>
      </w:r>
      <w:r w:rsidR="00225E5C">
        <w:t>State Administration Unit (</w:t>
      </w:r>
      <w:r>
        <w:t>SAU</w:t>
      </w:r>
      <w:r w:rsidR="00225E5C">
        <w:t>)</w:t>
      </w:r>
      <w:r>
        <w:t xml:space="preserve"> inter-entity account. The</w:t>
      </w:r>
      <w:r w:rsidR="00C14D27">
        <w:t xml:space="preserve"> </w:t>
      </w:r>
      <w:r w:rsidR="00C14D27" w:rsidRPr="00373BB7">
        <w:t>Departme</w:t>
      </w:r>
      <w:r w:rsidR="00C14D27">
        <w:t>nt</w:t>
      </w:r>
      <w:r w:rsidR="00C14D27" w:rsidRPr="00373BB7">
        <w:t xml:space="preserve"> may apply </w:t>
      </w:r>
      <w:r w:rsidR="00C14D27">
        <w:t xml:space="preserve">to the Treasurer to access and apply </w:t>
      </w:r>
      <w:r w:rsidR="00C14D27" w:rsidRPr="00373BB7">
        <w:t>that surplus</w:t>
      </w:r>
      <w:r w:rsidR="00C14D27">
        <w:t xml:space="preserve"> </w:t>
      </w:r>
      <w:r w:rsidR="00DC7E1C">
        <w:t xml:space="preserve">to other spending proposals </w:t>
      </w:r>
      <w:r w:rsidR="00C14D27">
        <w:t xml:space="preserve">under </w:t>
      </w:r>
      <w:r w:rsidR="00225E5C">
        <w:t>s</w:t>
      </w:r>
      <w:r w:rsidR="00C14D27">
        <w:t xml:space="preserve">ection 33 of the FMA. </w:t>
      </w:r>
      <w:r w:rsidR="00C14D27" w:rsidRPr="00373BB7">
        <w:t xml:space="preserve">This is </w:t>
      </w:r>
      <w:r w:rsidR="00C14D27">
        <w:t>intended</w:t>
      </w:r>
      <w:r w:rsidR="00C14D27" w:rsidRPr="00373BB7">
        <w:t xml:space="preserve"> to </w:t>
      </w:r>
      <w:r>
        <w:t>act as an incentive to</w:t>
      </w:r>
      <w:r w:rsidRPr="00373BB7">
        <w:t xml:space="preserve"> </w:t>
      </w:r>
      <w:r w:rsidR="00C14D27" w:rsidRPr="00373BB7">
        <w:t xml:space="preserve">Departments </w:t>
      </w:r>
      <w:r w:rsidR="00A94FFE">
        <w:t>for</w:t>
      </w:r>
      <w:r w:rsidRPr="00373BB7">
        <w:t xml:space="preserve"> </w:t>
      </w:r>
      <w:r w:rsidR="00C14D27" w:rsidRPr="00373BB7">
        <w:t xml:space="preserve">delivering services for less than the agreed </w:t>
      </w:r>
      <w:r w:rsidR="0073512B">
        <w:t>‘</w:t>
      </w:r>
      <w:r w:rsidR="00C14D27" w:rsidRPr="00373BB7">
        <w:t>price</w:t>
      </w:r>
      <w:r w:rsidR="0073512B">
        <w:t>’</w:t>
      </w:r>
      <w:r w:rsidR="00C14D27" w:rsidRPr="00373BB7">
        <w:t>.</w:t>
      </w:r>
    </w:p>
    <w:p w14:paraId="4266C797" w14:textId="261EF724" w:rsidR="0073512B" w:rsidRDefault="00DC461F" w:rsidP="00DC461F">
      <w:pPr>
        <w:spacing w:line="252" w:lineRule="auto"/>
        <w:ind w:left="792"/>
      </w:pPr>
      <w:r w:rsidRPr="00373BB7">
        <w:t xml:space="preserve">The range of purposes to which a surplus may be applied is not limited as long as Departments comply with the broad parameters set out in the Mandatory </w:t>
      </w:r>
      <w:r w:rsidR="00225E5C">
        <w:t>r</w:t>
      </w:r>
      <w:r w:rsidRPr="00373BB7">
        <w:t xml:space="preserve">equirements. </w:t>
      </w:r>
    </w:p>
    <w:p w14:paraId="7C03CD8F" w14:textId="2759B931" w:rsidR="00766792" w:rsidRDefault="00766792" w:rsidP="00DC461F">
      <w:pPr>
        <w:spacing w:line="252" w:lineRule="auto"/>
        <w:ind w:left="792"/>
      </w:pPr>
      <w:r>
        <w:t xml:space="preserve">This guidance should be read in conjunction with </w:t>
      </w:r>
      <w:r w:rsidR="00225E5C">
        <w:t>S</w:t>
      </w:r>
      <w:r w:rsidR="00EB20AD" w:rsidRPr="00EB20AD">
        <w:t>ection 1.8</w:t>
      </w:r>
      <w:r w:rsidRPr="00766792">
        <w:rPr>
          <w:i/>
        </w:rPr>
        <w:t xml:space="preserve"> </w:t>
      </w:r>
      <w:r w:rsidR="00EB20AD" w:rsidRPr="00EB20AD">
        <w:t>(</w:t>
      </w:r>
      <w:r w:rsidRPr="00EB20AD">
        <w:t xml:space="preserve">Access to previously appropriated amounts under </w:t>
      </w:r>
      <w:r w:rsidR="00225E5C">
        <w:t>s</w:t>
      </w:r>
      <w:r w:rsidRPr="00EB20AD">
        <w:t>ection 33 of the FMA</w:t>
      </w:r>
      <w:r w:rsidR="00EB20AD" w:rsidRPr="00EB20AD">
        <w:t>)</w:t>
      </w:r>
      <w:r w:rsidRPr="00EB20AD">
        <w:t>.</w:t>
      </w:r>
      <w:r w:rsidR="004C36D8">
        <w:t xml:space="preserve"> Note </w:t>
      </w:r>
      <w:r w:rsidR="00A2569E">
        <w:t>a</w:t>
      </w:r>
      <w:r w:rsidR="004C36D8">
        <w:t xml:space="preserve"> warrant is required to access surpluses generated in prior years.</w:t>
      </w:r>
    </w:p>
    <w:p w14:paraId="38F1E1C2" w14:textId="77777777" w:rsidR="00DC461F" w:rsidRPr="00373BB7" w:rsidRDefault="00DC461F" w:rsidP="000B672C">
      <w:pPr>
        <w:pStyle w:val="Heading3indent"/>
      </w:pPr>
      <w:r w:rsidRPr="00373BB7">
        <w:t>The contrast with carryovers</w:t>
      </w:r>
    </w:p>
    <w:p w14:paraId="326E9E3A" w14:textId="324AE4D9" w:rsidR="00DC461F" w:rsidRDefault="00DC461F" w:rsidP="00DC461F">
      <w:pPr>
        <w:spacing w:line="252" w:lineRule="auto"/>
        <w:ind w:left="792"/>
      </w:pPr>
      <w:r w:rsidRPr="00373BB7">
        <w:t>Carryover occurs whe</w:t>
      </w:r>
      <w:r w:rsidR="002A464A">
        <w:t>n</w:t>
      </w:r>
      <w:r w:rsidRPr="00373BB7">
        <w:t xml:space="preserve"> an annual appropriation amount for the previous year was not applied and the Treasurer has approved the application of this amount in the following year. This implies under-delivery of the outputs concerned,</w:t>
      </w:r>
      <w:r w:rsidR="00C14D27">
        <w:t xml:space="preserve"> whereas a surplus is the difference</w:t>
      </w:r>
      <w:r w:rsidRPr="00373BB7">
        <w:t xml:space="preserve"> </w:t>
      </w:r>
      <w:r w:rsidR="00DC7E1C">
        <w:t xml:space="preserve">in appropriation revenue </w:t>
      </w:r>
      <w:r w:rsidRPr="00373BB7">
        <w:t>achieved above the cost of delivery of an output.</w:t>
      </w:r>
    </w:p>
    <w:p w14:paraId="497212A7" w14:textId="77777777" w:rsidR="00DC461F" w:rsidRDefault="00DC461F" w:rsidP="00DC461F">
      <w:pPr>
        <w:pStyle w:val="Heading2numbered"/>
      </w:pPr>
      <w:bookmarkStart w:id="345" w:name="_Toc476658122"/>
      <w:r>
        <w:lastRenderedPageBreak/>
        <w:t>Depreciation and depreciation equivalent</w:t>
      </w:r>
      <w:bookmarkEnd w:id="341"/>
      <w:bookmarkEnd w:id="345"/>
    </w:p>
    <w:tbl>
      <w:tblPr>
        <w:tblStyle w:val="Mandatory"/>
        <w:tblW w:w="7483" w:type="dxa"/>
        <w:tblLook w:val="0620" w:firstRow="1" w:lastRow="0" w:firstColumn="0" w:lastColumn="0" w:noHBand="1" w:noVBand="1"/>
      </w:tblPr>
      <w:tblGrid>
        <w:gridCol w:w="7483"/>
      </w:tblGrid>
      <w:tr w:rsidR="00DC461F" w:rsidRPr="00FD2F4C" w14:paraId="686F9E37" w14:textId="77777777" w:rsidTr="00AF7284">
        <w:trPr>
          <w:cnfStyle w:val="100000000000" w:firstRow="1" w:lastRow="0" w:firstColumn="0" w:lastColumn="0" w:oddVBand="0" w:evenVBand="0" w:oddHBand="0" w:evenHBand="0" w:firstRowFirstColumn="0" w:firstRowLastColumn="0" w:lastRowFirstColumn="0" w:lastRowLastColumn="0"/>
          <w:trHeight w:val="750"/>
        </w:trPr>
        <w:tc>
          <w:tcPr>
            <w:tcW w:w="7483" w:type="dxa"/>
          </w:tcPr>
          <w:p w14:paraId="3842742C" w14:textId="77777777" w:rsidR="00DC461F" w:rsidRPr="00FD2F4C" w:rsidRDefault="00DC461F" w:rsidP="00AF7284">
            <w:pPr>
              <w:pStyle w:val="Tableheader"/>
            </w:pPr>
            <w:r w:rsidRPr="00FD2F4C">
              <w:t>Mandatory</w:t>
            </w:r>
            <w:r>
              <w:t xml:space="preserve"> requirements</w:t>
            </w:r>
            <w:r>
              <w:br/>
              <w:t>DEPRECIATION AND DEPRECIATION EQUIVALENT</w:t>
            </w:r>
          </w:p>
        </w:tc>
      </w:tr>
      <w:tr w:rsidR="00DC461F" w:rsidRPr="008D7E41" w14:paraId="6A1080F5" w14:textId="77777777" w:rsidTr="00AF7284">
        <w:tc>
          <w:tcPr>
            <w:tcW w:w="7483" w:type="dxa"/>
          </w:tcPr>
          <w:p w14:paraId="1D1582D8" w14:textId="77777777" w:rsidR="00643C34" w:rsidRDefault="00643C34" w:rsidP="00DA412B">
            <w:pPr>
              <w:pStyle w:val="Heading3numbered"/>
              <w:numPr>
                <w:ilvl w:val="4"/>
                <w:numId w:val="46"/>
              </w:numPr>
            </w:pPr>
            <w:bookmarkStart w:id="346" w:name="_Toc476658123"/>
            <w:bookmarkStart w:id="347" w:name="_Toc445459754"/>
            <w:r>
              <w:t>Depreciation equivalent for asset revaluations</w:t>
            </w:r>
            <w:bookmarkEnd w:id="346"/>
          </w:p>
          <w:p w14:paraId="5D494A4B" w14:textId="30C74CC1" w:rsidR="00643C34" w:rsidRPr="00643C34" w:rsidRDefault="00643C34" w:rsidP="00643C34">
            <w:pPr>
              <w:pStyle w:val="NormalIndent"/>
            </w:pPr>
            <w:r w:rsidRPr="00643C34">
              <w:t>Departments may apply for an increase in its depreciation equivalent (appropriation) funding</w:t>
            </w:r>
            <w:r w:rsidR="00EB20AD">
              <w:t>, to account for</w:t>
            </w:r>
            <w:r w:rsidR="00771801">
              <w:t xml:space="preserve"> an increase in depreciation expense as a result of asset revaluations, </w:t>
            </w:r>
            <w:r w:rsidRPr="00643C34">
              <w:t>by submitting a request to</w:t>
            </w:r>
            <w:r w:rsidR="00771801">
              <w:t xml:space="preserve"> the </w:t>
            </w:r>
            <w:r w:rsidR="00A0310D">
              <w:t>Treasurer</w:t>
            </w:r>
            <w:r w:rsidR="00771801">
              <w:t>.</w:t>
            </w:r>
          </w:p>
          <w:p w14:paraId="5FB4176E" w14:textId="77777777" w:rsidR="00DC461F" w:rsidRDefault="00DC461F" w:rsidP="00DA412B">
            <w:pPr>
              <w:pStyle w:val="Heading3numbered"/>
              <w:numPr>
                <w:ilvl w:val="4"/>
                <w:numId w:val="46"/>
              </w:numPr>
            </w:pPr>
            <w:bookmarkStart w:id="348" w:name="_Toc476658124"/>
            <w:r>
              <w:t>Depreciation equivalent for portfolio agencies</w:t>
            </w:r>
            <w:bookmarkEnd w:id="347"/>
            <w:bookmarkEnd w:id="348"/>
          </w:p>
          <w:p w14:paraId="3C1A3402" w14:textId="588ADF2F" w:rsidR="00ED211C" w:rsidRDefault="00B7459A" w:rsidP="00ED211C">
            <w:pPr>
              <w:pStyle w:val="NormalIndent"/>
            </w:pPr>
            <w:r>
              <w:t xml:space="preserve">If informed by a decision of </w:t>
            </w:r>
            <w:r w:rsidR="00225E5C">
              <w:t xml:space="preserve">the </w:t>
            </w:r>
            <w:r>
              <w:t>Government, a</w:t>
            </w:r>
            <w:r w:rsidR="00DC461F">
              <w:t xml:space="preserve"> Department may transfer depreciation equivalent funding for approved capital projects in portfolio agencies as a</w:t>
            </w:r>
            <w:r w:rsidR="008B4E81">
              <w:t xml:space="preserve"> </w:t>
            </w:r>
            <w:r w:rsidR="00DC461F" w:rsidRPr="007B4093">
              <w:t xml:space="preserve">capital grant expense to </w:t>
            </w:r>
            <w:r w:rsidR="00DC461F">
              <w:t>the agency</w:t>
            </w:r>
            <w:r w:rsidR="008B4E81">
              <w:t xml:space="preserve"> concerned. The receiving agency will recognise the grant as revenue</w:t>
            </w:r>
            <w:r w:rsidR="00ED211C">
              <w:t>.</w:t>
            </w:r>
          </w:p>
          <w:p w14:paraId="65AF3C1A" w14:textId="77777777" w:rsidR="00DC461F" w:rsidRDefault="00DC461F" w:rsidP="00AF7284">
            <w:pPr>
              <w:pStyle w:val="Heading3numbered"/>
            </w:pPr>
            <w:bookmarkStart w:id="349" w:name="_Toc445459755"/>
            <w:bookmarkStart w:id="350" w:name="_Toc476658125"/>
            <w:r>
              <w:t>Depreciation on administered assets</w:t>
            </w:r>
            <w:bookmarkEnd w:id="349"/>
            <w:bookmarkEnd w:id="350"/>
          </w:p>
          <w:p w14:paraId="0EA18F7C" w14:textId="77777777" w:rsidR="00B7459A" w:rsidRDefault="00B7459A" w:rsidP="00DA412B">
            <w:pPr>
              <w:pStyle w:val="Listnumindent"/>
              <w:numPr>
                <w:ilvl w:val="6"/>
                <w:numId w:val="34"/>
              </w:numPr>
            </w:pPr>
            <w:r>
              <w:t>Depreciation on an administered asset must be recorded in a Department’s administered entity.</w:t>
            </w:r>
          </w:p>
          <w:p w14:paraId="670A39F2" w14:textId="77777777" w:rsidR="00DC461F" w:rsidRDefault="00DC461F" w:rsidP="00DA412B">
            <w:pPr>
              <w:pStyle w:val="Listnumindent"/>
              <w:numPr>
                <w:ilvl w:val="6"/>
                <w:numId w:val="34"/>
              </w:numPr>
            </w:pPr>
            <w:r>
              <w:t>A D</w:t>
            </w:r>
            <w:r w:rsidRPr="00482913">
              <w:t xml:space="preserve">epartment must not include depreciation on an administered asset in </w:t>
            </w:r>
            <w:r>
              <w:t>D</w:t>
            </w:r>
            <w:r w:rsidRPr="00482913">
              <w:t xml:space="preserve">epartmental </w:t>
            </w:r>
            <w:r w:rsidR="00B7459A">
              <w:t xml:space="preserve">controlled </w:t>
            </w:r>
            <w:r w:rsidRPr="00482913">
              <w:t>operating costs for budgeting or reporting purposes</w:t>
            </w:r>
            <w:r>
              <w:t>.</w:t>
            </w:r>
          </w:p>
          <w:p w14:paraId="0E5DF812" w14:textId="77777777" w:rsidR="00DC461F" w:rsidRDefault="00DC461F" w:rsidP="00DA412B">
            <w:pPr>
              <w:pStyle w:val="Listnumindent"/>
              <w:numPr>
                <w:ilvl w:val="6"/>
                <w:numId w:val="34"/>
              </w:numPr>
            </w:pPr>
            <w:r w:rsidRPr="005C134E">
              <w:t xml:space="preserve">Depreciation equivalent asset investment funding does not apply to the acquisition of an administered asset. </w:t>
            </w:r>
          </w:p>
          <w:p w14:paraId="46028761" w14:textId="77777777" w:rsidR="00DC461F" w:rsidRPr="00F0407D" w:rsidRDefault="00DC461F" w:rsidP="00DA412B">
            <w:pPr>
              <w:pStyle w:val="Listnumindent"/>
              <w:numPr>
                <w:ilvl w:val="6"/>
                <w:numId w:val="34"/>
              </w:numPr>
            </w:pPr>
            <w:r w:rsidRPr="005C134E">
              <w:t xml:space="preserve">If an administered asset is </w:t>
            </w:r>
            <w:r w:rsidR="00B7459A">
              <w:t xml:space="preserve">required </w:t>
            </w:r>
            <w:r w:rsidRPr="005C134E">
              <w:t xml:space="preserve">to be replaced or enhanced, funding </w:t>
            </w:r>
            <w:r>
              <w:t xml:space="preserve">must </w:t>
            </w:r>
            <w:r w:rsidRPr="005C134E">
              <w:t>be sought as p</w:t>
            </w:r>
            <w:r>
              <w:t xml:space="preserve">art of </w:t>
            </w:r>
            <w:r w:rsidR="00A35B33">
              <w:t>a submission</w:t>
            </w:r>
            <w:r w:rsidRPr="005C134E">
              <w:t>.</w:t>
            </w:r>
          </w:p>
        </w:tc>
      </w:tr>
    </w:tbl>
    <w:p w14:paraId="1630265A" w14:textId="77777777" w:rsidR="00DC461F" w:rsidRPr="00862803" w:rsidRDefault="00DC461F" w:rsidP="00056F4E">
      <w:pPr>
        <w:pStyle w:val="Heading2indent"/>
      </w:pPr>
      <w:r w:rsidRPr="00862803">
        <w:t>Guidance</w:t>
      </w:r>
    </w:p>
    <w:p w14:paraId="503BFB06" w14:textId="77777777" w:rsidR="00DC461F" w:rsidRDefault="00DC461F" w:rsidP="000B672C">
      <w:pPr>
        <w:pStyle w:val="Heading3indent"/>
      </w:pPr>
      <w:r>
        <w:t>Definition of depreciation equivalent</w:t>
      </w:r>
    </w:p>
    <w:p w14:paraId="2819F517" w14:textId="71FD7EAD" w:rsidR="005B6F11" w:rsidRDefault="00DC461F" w:rsidP="00DC461F">
      <w:pPr>
        <w:pStyle w:val="NormalIndent"/>
      </w:pPr>
      <w:r>
        <w:t xml:space="preserve">Depreciation equivalent is the amount of appropriation revenue </w:t>
      </w:r>
      <w:r w:rsidRPr="00FD052B">
        <w:t>equal to actual depreciation expense</w:t>
      </w:r>
      <w:r>
        <w:t xml:space="preserve"> </w:t>
      </w:r>
      <w:r w:rsidR="00766792">
        <w:t xml:space="preserve">for a given year. </w:t>
      </w:r>
      <w:r w:rsidR="00517307">
        <w:t>As depreciation is a non-cash expense, t</w:t>
      </w:r>
      <w:r w:rsidR="00766792">
        <w:t xml:space="preserve">his amount </w:t>
      </w:r>
      <w:r w:rsidR="008B4E81">
        <w:t xml:space="preserve">remains undrawn </w:t>
      </w:r>
      <w:r w:rsidR="00766792">
        <w:t xml:space="preserve">in </w:t>
      </w:r>
      <w:r w:rsidR="00225E5C">
        <w:t xml:space="preserve">the </w:t>
      </w:r>
      <w:r w:rsidR="00766792">
        <w:t>Consolidated Fund, but is</w:t>
      </w:r>
      <w:r w:rsidR="00300919">
        <w:t xml:space="preserve"> initially</w:t>
      </w:r>
      <w:r w:rsidR="00766792">
        <w:t xml:space="preserve"> recognised notionally </w:t>
      </w:r>
      <w:r w:rsidR="00F11AB9">
        <w:t xml:space="preserve">for the Department in its </w:t>
      </w:r>
      <w:r w:rsidR="00766792">
        <w:t xml:space="preserve">SAU </w:t>
      </w:r>
      <w:r w:rsidR="00300919">
        <w:t xml:space="preserve">receivable </w:t>
      </w:r>
      <w:r w:rsidR="008B4E81">
        <w:t>account</w:t>
      </w:r>
      <w:r w:rsidR="00300919">
        <w:t xml:space="preserve"> until expended on approved capital investment items</w:t>
      </w:r>
      <w:r w:rsidR="00766792">
        <w:t xml:space="preserve">. </w:t>
      </w:r>
    </w:p>
    <w:p w14:paraId="49AA69F1" w14:textId="77777777" w:rsidR="00517307" w:rsidRDefault="00517307" w:rsidP="000B672C">
      <w:pPr>
        <w:pStyle w:val="Heading3indent"/>
      </w:pPr>
      <w:r>
        <w:t>What is the purpose of depreciation equivalent?</w:t>
      </w:r>
    </w:p>
    <w:p w14:paraId="29AF2F20" w14:textId="24F19E5F" w:rsidR="00517307" w:rsidRDefault="00517307" w:rsidP="00517307">
      <w:pPr>
        <w:pStyle w:val="NormalIndent"/>
      </w:pPr>
      <w:r>
        <w:t>The purpose of dep</w:t>
      </w:r>
      <w:r w:rsidR="007E267B">
        <w:t xml:space="preserve">reciation equivalent </w:t>
      </w:r>
      <w:r w:rsidR="00300919">
        <w:t xml:space="preserve">revenue </w:t>
      </w:r>
      <w:r>
        <w:t xml:space="preserve">is to </w:t>
      </w:r>
      <w:r w:rsidR="00300919">
        <w:t xml:space="preserve">preserve the net asset value of the </w:t>
      </w:r>
      <w:r w:rsidR="00624A18">
        <w:t xml:space="preserve">portfolio </w:t>
      </w:r>
      <w:r w:rsidR="00300919">
        <w:t xml:space="preserve">department by providing </w:t>
      </w:r>
      <w:r>
        <w:t xml:space="preserve">a </w:t>
      </w:r>
      <w:r w:rsidR="007E267B">
        <w:t>s</w:t>
      </w:r>
      <w:r>
        <w:t>ource of asset investment</w:t>
      </w:r>
      <w:r w:rsidR="00300919">
        <w:t xml:space="preserve"> </w:t>
      </w:r>
      <w:r w:rsidR="00F275AF">
        <w:t>funding. Both the Appropriation Act (section 5) and section 33</w:t>
      </w:r>
      <w:r w:rsidR="00225E5C">
        <w:t xml:space="preserve"> of the FMA</w:t>
      </w:r>
      <w:r w:rsidR="00F275AF">
        <w:t xml:space="preserve"> </w:t>
      </w:r>
      <w:r w:rsidR="005D1B5D">
        <w:t xml:space="preserve">for accumulated prior year unspent balances </w:t>
      </w:r>
      <w:r w:rsidR="00F275AF">
        <w:t xml:space="preserve">require that expenditure </w:t>
      </w:r>
      <w:r w:rsidR="005D1B5D">
        <w:t>can only be made on f</w:t>
      </w:r>
      <w:r w:rsidR="004979AD">
        <w:t>ixed assets.</w:t>
      </w:r>
    </w:p>
    <w:p w14:paraId="40AF99AB" w14:textId="77777777" w:rsidR="007E267B" w:rsidRDefault="007E267B" w:rsidP="00517307">
      <w:pPr>
        <w:pStyle w:val="NormalIndent"/>
      </w:pPr>
      <w:r>
        <w:t xml:space="preserve">Under accrual budgeting principles, depreciation equivalent is one of the </w:t>
      </w:r>
      <w:r w:rsidR="00956755">
        <w:t xml:space="preserve">primary </w:t>
      </w:r>
      <w:r>
        <w:t>sources of funds available for asset investment, along with:</w:t>
      </w:r>
    </w:p>
    <w:p w14:paraId="2BA7140F" w14:textId="4B96D7E7" w:rsidR="007E267B" w:rsidRDefault="007E267B" w:rsidP="007E267B">
      <w:pPr>
        <w:pStyle w:val="Bulletindent"/>
      </w:pPr>
      <w:r>
        <w:t xml:space="preserve">proceeds of </w:t>
      </w:r>
      <w:r w:rsidR="00A35B33">
        <w:t xml:space="preserve">net </w:t>
      </w:r>
      <w:r>
        <w:t>asset sales</w:t>
      </w:r>
      <w:r w:rsidR="00624A18">
        <w:t xml:space="preserve"> (generally accessed under a section 29 agreement)</w:t>
      </w:r>
      <w:r>
        <w:t>; and</w:t>
      </w:r>
    </w:p>
    <w:p w14:paraId="43B93C3F" w14:textId="77777777" w:rsidR="007E267B" w:rsidRDefault="007E267B" w:rsidP="007E267B">
      <w:pPr>
        <w:pStyle w:val="Bulletindent"/>
        <w:ind w:left="1151" w:hanging="357"/>
        <w:contextualSpacing w:val="0"/>
      </w:pPr>
      <w:r>
        <w:t>Additions to the Net Asset Base (ATNAB) appropriation funding.</w:t>
      </w:r>
    </w:p>
    <w:p w14:paraId="011DF003" w14:textId="77777777" w:rsidR="00857677" w:rsidRDefault="00857677">
      <w:pPr>
        <w:spacing w:before="0" w:after="200"/>
        <w:rPr>
          <w:rFonts w:eastAsia="Times New Roman" w:cs="Calibri"/>
        </w:rPr>
      </w:pPr>
      <w:r>
        <w:br w:type="page"/>
      </w:r>
    </w:p>
    <w:p w14:paraId="34490A97" w14:textId="25F34800" w:rsidR="007E267B" w:rsidRDefault="007E267B" w:rsidP="004E2FD2">
      <w:pPr>
        <w:pStyle w:val="Bulletindent"/>
        <w:numPr>
          <w:ilvl w:val="0"/>
          <w:numId w:val="0"/>
        </w:numPr>
        <w:ind w:left="784" w:firstLine="10"/>
        <w:contextualSpacing w:val="0"/>
      </w:pPr>
      <w:r>
        <w:lastRenderedPageBreak/>
        <w:t xml:space="preserve">Other sources of </w:t>
      </w:r>
      <w:r w:rsidR="00CA3B0B">
        <w:t>funding</w:t>
      </w:r>
      <w:r>
        <w:t xml:space="preserve"> include Commonwealth</w:t>
      </w:r>
      <w:r w:rsidR="005D1B5D">
        <w:t xml:space="preserve"> (section 29 agreement)</w:t>
      </w:r>
      <w:r>
        <w:t xml:space="preserve"> or other third</w:t>
      </w:r>
      <w:r w:rsidR="004E2FD2">
        <w:noBreakHyphen/>
      </w:r>
      <w:r>
        <w:t>party revenues</w:t>
      </w:r>
      <w:r w:rsidR="005D1B5D">
        <w:t xml:space="preserve"> (generally through ATNAB or revenue of portfolio agencies such </w:t>
      </w:r>
      <w:r w:rsidR="00225E5C">
        <w:t xml:space="preserve">as </w:t>
      </w:r>
      <w:r w:rsidR="005D1B5D">
        <w:t>TAFEs or hospitals)</w:t>
      </w:r>
      <w:r>
        <w:t>.</w:t>
      </w:r>
      <w:r w:rsidRPr="005C134E">
        <w:rPr>
          <w:lang w:eastAsia="en-US"/>
        </w:rPr>
        <w:t xml:space="preserve"> </w:t>
      </w:r>
    </w:p>
    <w:p w14:paraId="71280431" w14:textId="0B7C8945" w:rsidR="007E267B" w:rsidRDefault="00225E5C" w:rsidP="007E267B">
      <w:pPr>
        <w:pStyle w:val="NormalIndent"/>
      </w:pPr>
      <w:r>
        <w:t>Refer to</w:t>
      </w:r>
      <w:r w:rsidR="007E267B" w:rsidRPr="00EB20AD">
        <w:t xml:space="preserve"> Section</w:t>
      </w:r>
      <w:r w:rsidR="00EB20AD" w:rsidRPr="00EB20AD">
        <w:t xml:space="preserve"> 3</w:t>
      </w:r>
      <w:r w:rsidR="00CA2206">
        <w:t>.1</w:t>
      </w:r>
      <w:r w:rsidR="007E267B" w:rsidRPr="00EB20AD">
        <w:t xml:space="preserve"> </w:t>
      </w:r>
      <w:r w:rsidR="00EB20AD" w:rsidRPr="00EB20AD">
        <w:t>(</w:t>
      </w:r>
      <w:r w:rsidR="007E267B" w:rsidRPr="00EB20AD">
        <w:t xml:space="preserve">Asset </w:t>
      </w:r>
      <w:r w:rsidR="00EB20AD" w:rsidRPr="00EB20AD">
        <w:t xml:space="preserve">Funding) </w:t>
      </w:r>
      <w:r w:rsidR="007E267B" w:rsidRPr="00EB20AD">
        <w:t xml:space="preserve">for </w:t>
      </w:r>
      <w:r w:rsidR="007E267B">
        <w:t>more information on the funding of assets</w:t>
      </w:r>
      <w:r w:rsidR="00956755">
        <w:t xml:space="preserve">, and </w:t>
      </w:r>
      <w:r w:rsidR="00956755" w:rsidRPr="00643C34">
        <w:rPr>
          <w:b/>
        </w:rPr>
        <w:t xml:space="preserve">the order in which the fund sources </w:t>
      </w:r>
      <w:r w:rsidR="00624A18">
        <w:rPr>
          <w:b/>
        </w:rPr>
        <w:t>should</w:t>
      </w:r>
      <w:r w:rsidR="00624A18" w:rsidRPr="00643C34">
        <w:rPr>
          <w:b/>
        </w:rPr>
        <w:t xml:space="preserve"> </w:t>
      </w:r>
      <w:r w:rsidR="00956755" w:rsidRPr="00643C34">
        <w:rPr>
          <w:b/>
        </w:rPr>
        <w:t>be accessed</w:t>
      </w:r>
      <w:r w:rsidR="00956755">
        <w:t>.</w:t>
      </w:r>
    </w:p>
    <w:p w14:paraId="2735B4A1" w14:textId="77777777" w:rsidR="00517307" w:rsidRDefault="00517307" w:rsidP="00517307">
      <w:pPr>
        <w:pStyle w:val="NormalIndent"/>
        <w:rPr>
          <w:lang w:eastAsia="en-US"/>
        </w:rPr>
      </w:pPr>
      <w:r w:rsidRPr="005C134E">
        <w:rPr>
          <w:lang w:eastAsia="en-US"/>
        </w:rPr>
        <w:t xml:space="preserve">There is no direct link between depreciation equivalent and the renewal and replacement requirements in a </w:t>
      </w:r>
      <w:r>
        <w:rPr>
          <w:lang w:eastAsia="en-US"/>
        </w:rPr>
        <w:t>D</w:t>
      </w:r>
      <w:r w:rsidRPr="005C134E">
        <w:rPr>
          <w:lang w:eastAsia="en-US"/>
        </w:rPr>
        <w:t xml:space="preserve">epartment’s physical asset base. However, the intent of depreciation equivalent is to be a primary contributor to sustain </w:t>
      </w:r>
      <w:r w:rsidR="00CA3B0B">
        <w:rPr>
          <w:lang w:eastAsia="en-US"/>
        </w:rPr>
        <w:t xml:space="preserve">asset </w:t>
      </w:r>
      <w:r w:rsidRPr="005C134E">
        <w:rPr>
          <w:lang w:eastAsia="en-US"/>
        </w:rPr>
        <w:t xml:space="preserve">investment requirements. </w:t>
      </w:r>
    </w:p>
    <w:p w14:paraId="525F3C75" w14:textId="77777777" w:rsidR="00F11AB9" w:rsidRDefault="00F11AB9" w:rsidP="000B672C">
      <w:pPr>
        <w:pStyle w:val="Heading3indent"/>
      </w:pPr>
      <w:r>
        <w:t>How does a Department access its depreciation equivalent balance?</w:t>
      </w:r>
    </w:p>
    <w:p w14:paraId="2A9F48A5" w14:textId="47676A57" w:rsidR="00A35B33" w:rsidRDefault="00A35B33" w:rsidP="00643C34">
      <w:pPr>
        <w:pStyle w:val="NormalIndent"/>
      </w:pPr>
      <w:r>
        <w:t xml:space="preserve">A Department may only access depreciation equivalent to fund approved asset investment programs determined by </w:t>
      </w:r>
      <w:r w:rsidR="00225E5C">
        <w:t xml:space="preserve">the </w:t>
      </w:r>
      <w:r>
        <w:t>Government.</w:t>
      </w:r>
    </w:p>
    <w:p w14:paraId="3BB2AA3F" w14:textId="4C88E2F9" w:rsidR="00643C34" w:rsidRDefault="00A2569E" w:rsidP="00643C34">
      <w:pPr>
        <w:pStyle w:val="NormalIndent"/>
      </w:pPr>
      <w:r>
        <w:rPr>
          <w:b/>
        </w:rPr>
        <w:t>Current y</w:t>
      </w:r>
      <w:r w:rsidRPr="00A2569E">
        <w:rPr>
          <w:b/>
        </w:rPr>
        <w:t xml:space="preserve">ear’s </w:t>
      </w:r>
      <w:r w:rsidR="006141A9">
        <w:rPr>
          <w:b/>
        </w:rPr>
        <w:t>d</w:t>
      </w:r>
      <w:r w:rsidR="006141A9" w:rsidRPr="00A2569E">
        <w:rPr>
          <w:b/>
        </w:rPr>
        <w:t xml:space="preserve">epreciation </w:t>
      </w:r>
      <w:r w:rsidR="00643C34" w:rsidRPr="00A2569E">
        <w:rPr>
          <w:b/>
        </w:rPr>
        <w:t xml:space="preserve">equivalent </w:t>
      </w:r>
      <w:r w:rsidR="006141A9">
        <w:rPr>
          <w:b/>
        </w:rPr>
        <w:t xml:space="preserve">revenue </w:t>
      </w:r>
      <w:r w:rsidR="00A35B33">
        <w:t xml:space="preserve">- </w:t>
      </w:r>
      <w:r w:rsidR="00643C34">
        <w:t xml:space="preserve">may be accessed by a Department to fund </w:t>
      </w:r>
      <w:r w:rsidR="00A35B33">
        <w:t xml:space="preserve">approved </w:t>
      </w:r>
      <w:r w:rsidR="00643C34">
        <w:t>asset investment.</w:t>
      </w:r>
    </w:p>
    <w:p w14:paraId="503A1797" w14:textId="3C967121" w:rsidR="00517307" w:rsidRDefault="00A35B33" w:rsidP="00517307">
      <w:pPr>
        <w:pStyle w:val="NormalIndent"/>
      </w:pPr>
      <w:r w:rsidRPr="00A2569E">
        <w:rPr>
          <w:b/>
        </w:rPr>
        <w:t>Prior year’s depreciation equivalent balances</w:t>
      </w:r>
      <w:r>
        <w:t xml:space="preserve"> - a</w:t>
      </w:r>
      <w:r w:rsidR="00927D35">
        <w:t xml:space="preserve"> Department may submit a request to the Treasurer to</w:t>
      </w:r>
      <w:r w:rsidR="006141A9">
        <w:t xml:space="preserve"> access</w:t>
      </w:r>
      <w:r w:rsidR="00927D35">
        <w:t xml:space="preserve"> </w:t>
      </w:r>
      <w:r>
        <w:t>this balance</w:t>
      </w:r>
      <w:r w:rsidR="00927D35">
        <w:t xml:space="preserve"> in its</w:t>
      </w:r>
      <w:r w:rsidR="00517307">
        <w:t xml:space="preserve"> SAU </w:t>
      </w:r>
      <w:r w:rsidR="006141A9">
        <w:t xml:space="preserve">account </w:t>
      </w:r>
      <w:r w:rsidR="00517307">
        <w:t xml:space="preserve">under </w:t>
      </w:r>
      <w:r w:rsidR="00225E5C">
        <w:t>s</w:t>
      </w:r>
      <w:r w:rsidR="00517307">
        <w:t>ection 33 of the FMA</w:t>
      </w:r>
      <w:r w:rsidR="00167400">
        <w:t>.</w:t>
      </w:r>
      <w:r w:rsidR="002A464A">
        <w:rPr>
          <w:rStyle w:val="FootnoteReference"/>
        </w:rPr>
        <w:footnoteReference w:id="21"/>
      </w:r>
    </w:p>
    <w:p w14:paraId="5FA7DA7D" w14:textId="06B5D5AD" w:rsidR="00517307" w:rsidRPr="00EB20AD" w:rsidRDefault="00767304" w:rsidP="00517307">
      <w:pPr>
        <w:spacing w:line="252" w:lineRule="auto"/>
        <w:ind w:left="792"/>
      </w:pPr>
      <w:r w:rsidRPr="00EB20AD">
        <w:t xml:space="preserve">For instructions on the application of a </w:t>
      </w:r>
      <w:r w:rsidR="00225E5C">
        <w:t>s</w:t>
      </w:r>
      <w:r w:rsidRPr="00EB20AD">
        <w:t xml:space="preserve">ection 33 request, please refer to </w:t>
      </w:r>
      <w:r w:rsidR="00B9490D">
        <w:t>s</w:t>
      </w:r>
      <w:r w:rsidR="00517307" w:rsidRPr="00EB20AD">
        <w:t>ection 1.</w:t>
      </w:r>
      <w:r w:rsidR="00EB20AD" w:rsidRPr="00EB20AD">
        <w:t>8</w:t>
      </w:r>
      <w:r w:rsidR="00517307" w:rsidRPr="00EB20AD">
        <w:t xml:space="preserve"> </w:t>
      </w:r>
      <w:r w:rsidR="00EB20AD" w:rsidRPr="00EB20AD">
        <w:t>(</w:t>
      </w:r>
      <w:r w:rsidR="00517307" w:rsidRPr="00EB20AD">
        <w:t xml:space="preserve">Access to previously appropriated amounts under </w:t>
      </w:r>
      <w:r w:rsidR="00225E5C">
        <w:t>s</w:t>
      </w:r>
      <w:r w:rsidR="00517307" w:rsidRPr="00EB20AD">
        <w:t>ection 33 of the FMA</w:t>
      </w:r>
      <w:r w:rsidR="00EB20AD" w:rsidRPr="00EB20AD">
        <w:t>)</w:t>
      </w:r>
      <w:r w:rsidR="00517307" w:rsidRPr="00EB20AD">
        <w:t>.</w:t>
      </w:r>
    </w:p>
    <w:p w14:paraId="4575D70F" w14:textId="20B02CCB" w:rsidR="00167400" w:rsidRDefault="00167400" w:rsidP="00167400">
      <w:pPr>
        <w:spacing w:line="252" w:lineRule="auto"/>
        <w:ind w:left="792"/>
      </w:pPr>
      <w:r>
        <w:t xml:space="preserve">Note that </w:t>
      </w:r>
      <w:r w:rsidR="006141A9">
        <w:t xml:space="preserve">where a Department has prior years’ </w:t>
      </w:r>
      <w:r w:rsidR="00A94FFE">
        <w:t>depreciation equivalent balances</w:t>
      </w:r>
      <w:r w:rsidR="006141A9">
        <w:t xml:space="preserve"> available, these balances should be applied to asset investment before </w:t>
      </w:r>
      <w:r w:rsidR="006C4F4E">
        <w:t xml:space="preserve">accessing their </w:t>
      </w:r>
      <w:r w:rsidR="00225E5C">
        <w:t xml:space="preserve">ATNAB </w:t>
      </w:r>
      <w:r>
        <w:t>appropriation.</w:t>
      </w:r>
    </w:p>
    <w:p w14:paraId="54C838A2" w14:textId="77777777" w:rsidR="00CA3B0B" w:rsidRDefault="00CA3B0B" w:rsidP="000B672C">
      <w:pPr>
        <w:pStyle w:val="Heading3indent"/>
      </w:pPr>
      <w:r>
        <w:t>Depreciation on administered assets</w:t>
      </w:r>
    </w:p>
    <w:p w14:paraId="2031850E" w14:textId="77777777" w:rsidR="00CA3B0B" w:rsidRDefault="00CA3B0B" w:rsidP="00CA3B0B">
      <w:pPr>
        <w:pStyle w:val="NormalIndent"/>
        <w:rPr>
          <w:lang w:eastAsia="en-US"/>
        </w:rPr>
      </w:pPr>
      <w:r>
        <w:rPr>
          <w:lang w:eastAsia="en-US"/>
        </w:rPr>
        <w:t>Administered assets are managed by a Department on behalf of the State. Departments should maintain accounting records of depreciation on administered assets in the same way as their controlled assets.</w:t>
      </w:r>
    </w:p>
    <w:p w14:paraId="26CA3AA3" w14:textId="77777777" w:rsidR="00CA3B0B" w:rsidRDefault="002A464A" w:rsidP="00CA3B0B">
      <w:pPr>
        <w:pStyle w:val="NormalIndent"/>
        <w:rPr>
          <w:lang w:eastAsia="en-US"/>
        </w:rPr>
      </w:pPr>
      <w:r>
        <w:rPr>
          <w:lang w:eastAsia="en-US"/>
        </w:rPr>
        <w:t xml:space="preserve">However, </w:t>
      </w:r>
      <w:r w:rsidR="00CA3B0B">
        <w:rPr>
          <w:lang w:eastAsia="en-US"/>
        </w:rPr>
        <w:t>depreciation on administered assets is not associated with Departmental output delivery, therefore it is not included in output costs.</w:t>
      </w:r>
    </w:p>
    <w:p w14:paraId="37383CCF" w14:textId="77777777" w:rsidR="00CA3B0B" w:rsidRDefault="00CA3B0B" w:rsidP="00CA3B0B">
      <w:pPr>
        <w:pStyle w:val="NormalIndent"/>
        <w:rPr>
          <w:lang w:eastAsia="en-US"/>
        </w:rPr>
      </w:pPr>
      <w:r>
        <w:rPr>
          <w:lang w:eastAsia="en-US"/>
        </w:rPr>
        <w:t>When an administered asset is to be replaced or enhanced, an amount for asset investment should be sought as part of the overall appropriation for administered items.</w:t>
      </w:r>
    </w:p>
    <w:p w14:paraId="03819085" w14:textId="77777777" w:rsidR="00767304" w:rsidRDefault="00767304" w:rsidP="000B672C">
      <w:pPr>
        <w:pStyle w:val="Heading3indent"/>
      </w:pPr>
      <w:r>
        <w:t>Transfer of depreciation equivalent to agencies</w:t>
      </w:r>
    </w:p>
    <w:p w14:paraId="2301CC6F" w14:textId="728C4452" w:rsidR="00767304" w:rsidRDefault="00C01E32" w:rsidP="00767304">
      <w:pPr>
        <w:pStyle w:val="NormalIndent"/>
      </w:pPr>
      <w:r>
        <w:t>As a general rule, d</w:t>
      </w:r>
      <w:r w:rsidR="00767304" w:rsidRPr="00E152EC">
        <w:t>ep</w:t>
      </w:r>
      <w:r w:rsidR="00767304">
        <w:t>reciation equivalent revenue</w:t>
      </w:r>
      <w:r>
        <w:t xml:space="preserve"> should</w:t>
      </w:r>
      <w:r w:rsidR="00767304" w:rsidRPr="00E152EC">
        <w:t xml:space="preserve"> </w:t>
      </w:r>
      <w:r w:rsidR="00767304" w:rsidRPr="002E099F">
        <w:rPr>
          <w:b/>
        </w:rPr>
        <w:t xml:space="preserve">not </w:t>
      </w:r>
      <w:r w:rsidR="00767304" w:rsidRPr="00E152EC">
        <w:t xml:space="preserve">be applied to </w:t>
      </w:r>
      <w:r>
        <w:t xml:space="preserve">government controlled </w:t>
      </w:r>
      <w:r w:rsidR="00767304" w:rsidRPr="00E152EC">
        <w:t>agencies outside th</w:t>
      </w:r>
      <w:r w:rsidR="00767304">
        <w:t>e general government sector.</w:t>
      </w:r>
    </w:p>
    <w:p w14:paraId="170C7B05" w14:textId="77777777" w:rsidR="00CA3B0B" w:rsidRDefault="00CA3B0B" w:rsidP="000B672C">
      <w:pPr>
        <w:pStyle w:val="Heading3indent"/>
      </w:pPr>
      <w:r>
        <w:t>Impact of asset revaluations</w:t>
      </w:r>
    </w:p>
    <w:p w14:paraId="54D8273D" w14:textId="77777777" w:rsidR="00CF109D" w:rsidRDefault="00CA3B0B" w:rsidP="00CF109D">
      <w:pPr>
        <w:pStyle w:val="NormalIndent"/>
      </w:pPr>
      <w:r>
        <w:t xml:space="preserve">As part of an asset revaluation process, the accumulated depreciation associated with the asset being revalued is ‘written back’ into the accounts. </w:t>
      </w:r>
      <w:r w:rsidR="00BD1F7A">
        <w:t>There is no impact however on the existing depreciation equivalent balances in a Department’s SAU inter-entity account.</w:t>
      </w:r>
    </w:p>
    <w:p w14:paraId="541C3FFA" w14:textId="77777777" w:rsidR="00B47296" w:rsidRDefault="00B47296">
      <w:pPr>
        <w:spacing w:before="0" w:after="200"/>
        <w:rPr>
          <w:rFonts w:asciiTheme="majorHAnsi" w:eastAsiaTheme="majorEastAsia" w:hAnsiTheme="majorHAnsi" w:cstheme="majorBidi"/>
          <w:b/>
          <w:bCs/>
          <w:color w:val="0063A6" w:themeColor="accent1"/>
          <w:sz w:val="22"/>
          <w:szCs w:val="22"/>
        </w:rPr>
      </w:pPr>
      <w:r>
        <w:br w:type="page"/>
      </w:r>
    </w:p>
    <w:p w14:paraId="03662063" w14:textId="10DEF2FB" w:rsidR="00767304" w:rsidRDefault="00767304" w:rsidP="000B672C">
      <w:pPr>
        <w:pStyle w:val="Heading3indent"/>
      </w:pPr>
      <w:r>
        <w:lastRenderedPageBreak/>
        <w:t>Other information on depreciation equivalent</w:t>
      </w:r>
    </w:p>
    <w:p w14:paraId="7FF5258A" w14:textId="77777777" w:rsidR="00DC461F" w:rsidRDefault="00DC461F" w:rsidP="00B47296">
      <w:pPr>
        <w:pStyle w:val="Heading4indent"/>
      </w:pPr>
      <w:r>
        <w:t>What is the difference between depreciation and depreciation equivalent?</w:t>
      </w:r>
    </w:p>
    <w:p w14:paraId="7AAE2C72" w14:textId="0A25EC9D" w:rsidR="00DC461F" w:rsidRDefault="00DC461F" w:rsidP="00DC461F">
      <w:pPr>
        <w:pStyle w:val="NormalIndent"/>
      </w:pPr>
      <w:r>
        <w:t xml:space="preserve">Depreciation expense </w:t>
      </w:r>
      <w:r w:rsidR="00CA3B0B">
        <w:t xml:space="preserve">refers to the </w:t>
      </w:r>
      <w:r>
        <w:t xml:space="preserve">non-cash expense charged to an entity’s accounts to represent the allocation of an asset’s cost over its useful life. As this expense has no associated cash outflow, the depreciation </w:t>
      </w:r>
      <w:r w:rsidR="00FB5E78">
        <w:t xml:space="preserve">equivalent revenue </w:t>
      </w:r>
      <w:r w:rsidR="006748C7">
        <w:t>included a</w:t>
      </w:r>
      <w:r w:rsidR="00A94FFE">
        <w:t>s part of a D</w:t>
      </w:r>
      <w:r w:rsidR="006748C7">
        <w:t xml:space="preserve">epartment’s output appropriation funding </w:t>
      </w:r>
      <w:r w:rsidR="00CA3B0B">
        <w:t>remains in the Consolidated Fund</w:t>
      </w:r>
      <w:r w:rsidR="006748C7">
        <w:t>. Being part of the revenue earned by a Department for the year,</w:t>
      </w:r>
      <w:r w:rsidR="004E2FD2">
        <w:t xml:space="preserve"> </w:t>
      </w:r>
      <w:r w:rsidR="006748C7">
        <w:t>it</w:t>
      </w:r>
      <w:r w:rsidR="00FB5E78">
        <w:t xml:space="preserve"> is recorded as a receivable in</w:t>
      </w:r>
      <w:r w:rsidR="00CA3B0B">
        <w:t xml:space="preserve"> </w:t>
      </w:r>
      <w:r w:rsidR="00FB5E78">
        <w:t>th</w:t>
      </w:r>
      <w:r w:rsidR="006748C7">
        <w:t>e</w:t>
      </w:r>
      <w:r w:rsidR="00FB5E78">
        <w:t xml:space="preserve"> </w:t>
      </w:r>
      <w:r>
        <w:t xml:space="preserve">Department’s SAU </w:t>
      </w:r>
      <w:r w:rsidR="006748C7">
        <w:t>inter-entity account, pending draw down from the Consolidated Fund for approved asset investment purposes</w:t>
      </w:r>
      <w:r>
        <w:t>.</w:t>
      </w:r>
    </w:p>
    <w:p w14:paraId="26FFC815" w14:textId="77777777" w:rsidR="00767304" w:rsidRDefault="00767304" w:rsidP="00B47296">
      <w:pPr>
        <w:pStyle w:val="Heading4indent"/>
      </w:pPr>
      <w:r>
        <w:t xml:space="preserve">What is the difference between </w:t>
      </w:r>
      <w:r w:rsidRPr="003D272A">
        <w:rPr>
          <w:i/>
        </w:rPr>
        <w:t>accumulated</w:t>
      </w:r>
      <w:r>
        <w:t xml:space="preserve"> depreciation and depreciation equivalent?</w:t>
      </w:r>
    </w:p>
    <w:p w14:paraId="3DAB8F6B" w14:textId="405C8F2A" w:rsidR="00DC461F" w:rsidRPr="005C134E" w:rsidRDefault="00767304" w:rsidP="00DC461F">
      <w:pPr>
        <w:pStyle w:val="NormalIndent"/>
        <w:rPr>
          <w:lang w:eastAsia="en-US"/>
        </w:rPr>
      </w:pPr>
      <w:r>
        <w:rPr>
          <w:lang w:eastAsia="en-US"/>
        </w:rPr>
        <w:t>T</w:t>
      </w:r>
      <w:r w:rsidR="00DC461F" w:rsidRPr="005C134E">
        <w:rPr>
          <w:lang w:eastAsia="en-US"/>
        </w:rPr>
        <w:t xml:space="preserve">here is no direct link between accumulated </w:t>
      </w:r>
      <w:r w:rsidR="006748C7">
        <w:rPr>
          <w:lang w:eastAsia="en-US"/>
        </w:rPr>
        <w:t xml:space="preserve">(i.e. unspent) </w:t>
      </w:r>
      <w:r w:rsidR="00DC461F" w:rsidRPr="005C134E">
        <w:rPr>
          <w:lang w:eastAsia="en-US"/>
        </w:rPr>
        <w:t>depreciation equivalent</w:t>
      </w:r>
      <w:r w:rsidR="006748C7">
        <w:rPr>
          <w:lang w:eastAsia="en-US"/>
        </w:rPr>
        <w:t xml:space="preserve"> </w:t>
      </w:r>
      <w:r w:rsidR="00DC461F" w:rsidRPr="005C134E">
        <w:rPr>
          <w:lang w:eastAsia="en-US"/>
        </w:rPr>
        <w:t>in the SAU</w:t>
      </w:r>
      <w:r w:rsidR="00DC461F">
        <w:rPr>
          <w:lang w:eastAsia="en-US"/>
        </w:rPr>
        <w:t xml:space="preserve"> (which is an asset),</w:t>
      </w:r>
      <w:r w:rsidR="00DC461F" w:rsidRPr="005C134E">
        <w:rPr>
          <w:lang w:eastAsia="en-US"/>
        </w:rPr>
        <w:t xml:space="preserve"> and accumulated depreciation which </w:t>
      </w:r>
      <w:r w:rsidR="00DC461F">
        <w:rPr>
          <w:lang w:eastAsia="en-US"/>
        </w:rPr>
        <w:t>captures the written-</w:t>
      </w:r>
      <w:r w:rsidR="00DC461F" w:rsidRPr="005C134E">
        <w:rPr>
          <w:lang w:eastAsia="en-US"/>
        </w:rPr>
        <w:t>down value of assets in the Balance Sheet</w:t>
      </w:r>
      <w:r w:rsidR="00DC461F">
        <w:rPr>
          <w:lang w:eastAsia="en-US"/>
        </w:rPr>
        <w:t xml:space="preserve"> (a contra-asset)</w:t>
      </w:r>
      <w:r w:rsidR="00DC461F" w:rsidRPr="005C134E">
        <w:rPr>
          <w:lang w:eastAsia="en-US"/>
        </w:rPr>
        <w:t>.</w:t>
      </w:r>
    </w:p>
    <w:p w14:paraId="79A9C1C7" w14:textId="77777777" w:rsidR="00DC461F" w:rsidRDefault="00DC461F" w:rsidP="000B672C">
      <w:pPr>
        <w:pStyle w:val="Heading3indent"/>
      </w:pPr>
      <w:r>
        <w:t>Relevant materials</w:t>
      </w:r>
    </w:p>
    <w:p w14:paraId="007BDB32" w14:textId="77777777" w:rsidR="00DC461F" w:rsidRDefault="00DC461F" w:rsidP="00B47296">
      <w:pPr>
        <w:pStyle w:val="Heading4indent"/>
      </w:pPr>
      <w:r>
        <w:t>Attachments</w:t>
      </w:r>
    </w:p>
    <w:p w14:paraId="2A94AFDC" w14:textId="77777777" w:rsidR="00DC461F" w:rsidRPr="00B4181B" w:rsidRDefault="00DC461F" w:rsidP="00DC461F">
      <w:pPr>
        <w:pStyle w:val="Bulletindent"/>
        <w:rPr>
          <w:lang w:eastAsia="en-US"/>
        </w:rPr>
      </w:pPr>
      <w:r w:rsidRPr="00B4181B">
        <w:rPr>
          <w:lang w:eastAsia="en-US"/>
        </w:rPr>
        <w:t xml:space="preserve">Attachment 3: Depreciation </w:t>
      </w:r>
      <w:r w:rsidRPr="00B4181B">
        <w:t>Equivalent – Asset investment funding sourced from provision of outputs appropriation diagram</w:t>
      </w:r>
    </w:p>
    <w:p w14:paraId="252B4239" w14:textId="77777777" w:rsidR="00DC461F" w:rsidRDefault="00DC461F" w:rsidP="00B47296">
      <w:pPr>
        <w:pStyle w:val="Heading4indent"/>
      </w:pPr>
      <w:r>
        <w:t>Financial Reporting Directions</w:t>
      </w:r>
    </w:p>
    <w:p w14:paraId="079845A3" w14:textId="77777777" w:rsidR="00DC461F" w:rsidRPr="00574EFF" w:rsidRDefault="00DC461F" w:rsidP="00DC461F">
      <w:pPr>
        <w:pStyle w:val="Bulletindent"/>
      </w:pPr>
      <w:r w:rsidRPr="00574EFF">
        <w:t>FRD</w:t>
      </w:r>
      <w:r>
        <w:t xml:space="preserve"> </w:t>
      </w:r>
      <w:r w:rsidRPr="00574EFF">
        <w:t xml:space="preserve">119A </w:t>
      </w:r>
      <w:r w:rsidRPr="00BC5ACF">
        <w:rPr>
          <w:i/>
        </w:rPr>
        <w:t>Transfers through Contributed Capital</w:t>
      </w:r>
    </w:p>
    <w:p w14:paraId="56439C26" w14:textId="7C9057DA" w:rsidR="00DC461F" w:rsidRPr="00CE016E" w:rsidRDefault="00DC461F" w:rsidP="00DC461F">
      <w:pPr>
        <w:pStyle w:val="Heading2numbered"/>
      </w:pPr>
      <w:bookmarkStart w:id="351" w:name="_Toc445459764"/>
      <w:bookmarkStart w:id="352" w:name="_Toc476658126"/>
      <w:r w:rsidRPr="00CE016E">
        <w:lastRenderedPageBreak/>
        <w:t xml:space="preserve">Long </w:t>
      </w:r>
      <w:r w:rsidR="00E53BE9">
        <w:t>s</w:t>
      </w:r>
      <w:r w:rsidRPr="00CE016E">
        <w:t xml:space="preserve">ervice </w:t>
      </w:r>
      <w:r w:rsidR="00E53BE9">
        <w:t>l</w:t>
      </w:r>
      <w:r w:rsidRPr="00CE016E">
        <w:t>eave</w:t>
      </w:r>
      <w:bookmarkEnd w:id="351"/>
      <w:r w:rsidR="00912AB4">
        <w:t xml:space="preserve"> and </w:t>
      </w:r>
      <w:r w:rsidR="00E53BE9">
        <w:t>l</w:t>
      </w:r>
      <w:r w:rsidR="00912AB4">
        <w:t xml:space="preserve">ong </w:t>
      </w:r>
      <w:r w:rsidR="00E53BE9">
        <w:t>s</w:t>
      </w:r>
      <w:r w:rsidR="00912AB4">
        <w:t xml:space="preserve">ervice </w:t>
      </w:r>
      <w:r w:rsidR="00E53BE9">
        <w:t>l</w:t>
      </w:r>
      <w:r w:rsidR="00912AB4">
        <w:t>eave equivalent</w:t>
      </w:r>
      <w:bookmarkEnd w:id="352"/>
    </w:p>
    <w:tbl>
      <w:tblPr>
        <w:tblStyle w:val="Mandatory"/>
        <w:tblW w:w="7483" w:type="dxa"/>
        <w:tblLook w:val="0620" w:firstRow="1" w:lastRow="0" w:firstColumn="0" w:lastColumn="0" w:noHBand="1" w:noVBand="1"/>
      </w:tblPr>
      <w:tblGrid>
        <w:gridCol w:w="7483"/>
      </w:tblGrid>
      <w:tr w:rsidR="00DC461F" w:rsidRPr="00BC5ACF" w14:paraId="3D60689C" w14:textId="77777777" w:rsidTr="00AF7284">
        <w:trPr>
          <w:cnfStyle w:val="100000000000" w:firstRow="1" w:lastRow="0" w:firstColumn="0" w:lastColumn="0" w:oddVBand="0" w:evenVBand="0" w:oddHBand="0" w:evenHBand="0" w:firstRowFirstColumn="0" w:firstRowLastColumn="0" w:lastRowFirstColumn="0" w:lastRowLastColumn="0"/>
        </w:trPr>
        <w:tc>
          <w:tcPr>
            <w:tcW w:w="7483" w:type="dxa"/>
          </w:tcPr>
          <w:p w14:paraId="7ACA4906" w14:textId="09075907" w:rsidR="00DC461F" w:rsidRPr="00BC5ACF" w:rsidRDefault="00DC461F" w:rsidP="007D39B6">
            <w:pPr>
              <w:pStyle w:val="Tableheader"/>
            </w:pPr>
            <w:r w:rsidRPr="00BC5ACF">
              <w:t xml:space="preserve">Mandatory requirements </w:t>
            </w:r>
            <w:r w:rsidRPr="00BC5ACF">
              <w:br/>
              <w:t xml:space="preserve">LONG SERVICE LEAVE </w:t>
            </w:r>
            <w:r w:rsidR="007D39B6">
              <w:t>AND LONG SERVICE LEAVE EQUIVALENT</w:t>
            </w:r>
          </w:p>
        </w:tc>
      </w:tr>
      <w:tr w:rsidR="00DC461F" w:rsidRPr="007B3C7A" w14:paraId="7584D6B0" w14:textId="77777777" w:rsidTr="00AF7284">
        <w:trPr>
          <w:trHeight w:val="589"/>
        </w:trPr>
        <w:tc>
          <w:tcPr>
            <w:tcW w:w="7483" w:type="dxa"/>
          </w:tcPr>
          <w:p w14:paraId="369A0536" w14:textId="26EB2472" w:rsidR="00DC461F" w:rsidRDefault="00DC461F" w:rsidP="00DA412B">
            <w:pPr>
              <w:pStyle w:val="Heading3numbered"/>
              <w:numPr>
                <w:ilvl w:val="4"/>
                <w:numId w:val="30"/>
              </w:numPr>
            </w:pPr>
            <w:bookmarkStart w:id="353" w:name="_Toc445459765"/>
            <w:bookmarkStart w:id="354" w:name="_Toc476658127"/>
            <w:r>
              <w:t xml:space="preserve">Valuation of balances of accumulated </w:t>
            </w:r>
            <w:r w:rsidR="00E53BE9">
              <w:t>l</w:t>
            </w:r>
            <w:r>
              <w:t xml:space="preserve">ong </w:t>
            </w:r>
            <w:r w:rsidR="00E53BE9">
              <w:t>s</w:t>
            </w:r>
            <w:r>
              <w:t xml:space="preserve">ervice </w:t>
            </w:r>
            <w:bookmarkEnd w:id="353"/>
            <w:r w:rsidR="00E53BE9">
              <w:t>l</w:t>
            </w:r>
            <w:r>
              <w:t>eave</w:t>
            </w:r>
            <w:bookmarkEnd w:id="354"/>
          </w:p>
          <w:p w14:paraId="4DC6A89B" w14:textId="0778A08C" w:rsidR="00A16F7C" w:rsidRDefault="00A16F7C" w:rsidP="00DA412B">
            <w:pPr>
              <w:pStyle w:val="Listnumindent"/>
              <w:numPr>
                <w:ilvl w:val="6"/>
                <w:numId w:val="35"/>
              </w:numPr>
            </w:pPr>
            <w:r>
              <w:t xml:space="preserve">The accumulated </w:t>
            </w:r>
            <w:r w:rsidR="00E53BE9">
              <w:t>l</w:t>
            </w:r>
            <w:r>
              <w:t xml:space="preserve">ong </w:t>
            </w:r>
            <w:r w:rsidR="00E53BE9">
              <w:t>s</w:t>
            </w:r>
            <w:r>
              <w:t xml:space="preserve">ervice </w:t>
            </w:r>
            <w:r w:rsidR="00E53BE9">
              <w:t>l</w:t>
            </w:r>
            <w:r>
              <w:t>eave (LSL) provision must be estimated in accordance with the reporting provisions set out in AASB 119. Therefore any variation to the liability must be brought to account as a revaluation of the liability at 30 June each year</w:t>
            </w:r>
            <w:r w:rsidR="00F741D0">
              <w:t>, split between its components of ‘transaction’ and ‘other economic flow</w:t>
            </w:r>
            <w:r w:rsidR="00147726">
              <w:t>s</w:t>
            </w:r>
            <w:r w:rsidR="00F741D0">
              <w:t>’</w:t>
            </w:r>
            <w:r>
              <w:t>.</w:t>
            </w:r>
          </w:p>
          <w:p w14:paraId="593F20CB" w14:textId="101D048C" w:rsidR="00DC461F" w:rsidRPr="00A437D7" w:rsidRDefault="00DC461F" w:rsidP="00DA412B">
            <w:pPr>
              <w:pStyle w:val="Listnumindent"/>
              <w:numPr>
                <w:ilvl w:val="6"/>
                <w:numId w:val="35"/>
              </w:numPr>
            </w:pPr>
            <w:r w:rsidRPr="00BD64C6">
              <w:t xml:space="preserve">The gain or loss on revaluation of the LSL provision must be included in ‘Other Economic Flows’ in the </w:t>
            </w:r>
            <w:r>
              <w:t>D</w:t>
            </w:r>
            <w:r w:rsidRPr="00BD64C6">
              <w:t>epartmental operating statement.</w:t>
            </w:r>
          </w:p>
          <w:p w14:paraId="65D9E775" w14:textId="79C05DDC" w:rsidR="00DC461F" w:rsidRDefault="00DC461F" w:rsidP="00AF7284">
            <w:pPr>
              <w:pStyle w:val="Heading3numbered"/>
            </w:pPr>
            <w:bookmarkStart w:id="355" w:name="_Toc445459766"/>
            <w:bookmarkStart w:id="356" w:name="_Toc476658128"/>
            <w:r>
              <w:t xml:space="preserve">Inclusion of estimated annual </w:t>
            </w:r>
            <w:r w:rsidR="00E53BE9">
              <w:t>l</w:t>
            </w:r>
            <w:r>
              <w:t xml:space="preserve">ong </w:t>
            </w:r>
            <w:r w:rsidR="00E53BE9">
              <w:t>s</w:t>
            </w:r>
            <w:r>
              <w:t xml:space="preserve">ervice </w:t>
            </w:r>
            <w:r w:rsidR="00E53BE9">
              <w:t>l</w:t>
            </w:r>
            <w:r>
              <w:t>eave expense in output costs</w:t>
            </w:r>
            <w:bookmarkEnd w:id="355"/>
            <w:bookmarkEnd w:id="356"/>
          </w:p>
          <w:p w14:paraId="739159EE" w14:textId="7F57EDDC" w:rsidR="00DC461F" w:rsidRPr="00A437D7" w:rsidRDefault="00DC461F" w:rsidP="00AF7284">
            <w:pPr>
              <w:pStyle w:val="NormalIndent"/>
            </w:pPr>
            <w:r>
              <w:t>Estimated annual LSL expense</w:t>
            </w:r>
            <w:r w:rsidRPr="00A437D7">
              <w:t xml:space="preserve"> </w:t>
            </w:r>
            <w:r>
              <w:t>(</w:t>
            </w:r>
            <w:r w:rsidRPr="00A437D7">
              <w:t xml:space="preserve">i.e. </w:t>
            </w:r>
            <w:r>
              <w:t xml:space="preserve">the </w:t>
            </w:r>
            <w:r w:rsidRPr="00A437D7">
              <w:t>amount expensed</w:t>
            </w:r>
            <w:r w:rsidR="00147726">
              <w:t xml:space="preserve"> as a transaction</w:t>
            </w:r>
            <w:r w:rsidRPr="00A437D7">
              <w:t xml:space="preserve"> in </w:t>
            </w:r>
            <w:r>
              <w:t>a</w:t>
            </w:r>
            <w:r w:rsidRPr="00A437D7">
              <w:t xml:space="preserve"> </w:t>
            </w:r>
            <w:r>
              <w:t>D</w:t>
            </w:r>
            <w:r w:rsidRPr="00A437D7">
              <w:t xml:space="preserve">epartment’s </w:t>
            </w:r>
            <w:r>
              <w:t xml:space="preserve">controlled </w:t>
            </w:r>
            <w:r w:rsidRPr="00A437D7">
              <w:t>operating statement</w:t>
            </w:r>
            <w:r>
              <w:t>)</w:t>
            </w:r>
            <w:r w:rsidRPr="00A437D7">
              <w:t xml:space="preserve"> </w:t>
            </w:r>
            <w:r>
              <w:t>must</w:t>
            </w:r>
            <w:r w:rsidRPr="00A437D7">
              <w:t xml:space="preserve"> be included in calculating the total estimated output costs</w:t>
            </w:r>
            <w:r>
              <w:t xml:space="preserve"> of a Department.</w:t>
            </w:r>
          </w:p>
          <w:p w14:paraId="2A33E4EA" w14:textId="63DDC924" w:rsidR="00DC461F" w:rsidRDefault="00DC461F" w:rsidP="00AF7284">
            <w:pPr>
              <w:pStyle w:val="Heading3numbered"/>
            </w:pPr>
            <w:bookmarkStart w:id="357" w:name="_Toc445459767"/>
            <w:bookmarkStart w:id="358" w:name="_Toc476658129"/>
            <w:r>
              <w:t>Long service leave equivalent</w:t>
            </w:r>
            <w:bookmarkEnd w:id="357"/>
            <w:r>
              <w:t xml:space="preserve"> (LSL </w:t>
            </w:r>
            <w:r w:rsidR="00B85CFC">
              <w:t>e</w:t>
            </w:r>
            <w:r>
              <w:t>quivalent)</w:t>
            </w:r>
            <w:bookmarkEnd w:id="358"/>
          </w:p>
          <w:p w14:paraId="23E1BCC0" w14:textId="4E7A4C75" w:rsidR="00DC461F" w:rsidRDefault="00DC461F" w:rsidP="00DA412B">
            <w:pPr>
              <w:pStyle w:val="Listnumindent"/>
              <w:numPr>
                <w:ilvl w:val="6"/>
                <w:numId w:val="37"/>
              </w:numPr>
            </w:pPr>
            <w:r>
              <w:t xml:space="preserve">A LSL </w:t>
            </w:r>
            <w:r w:rsidR="00B85CFC">
              <w:t>e</w:t>
            </w:r>
            <w:r>
              <w:t xml:space="preserve">quivalent amount is recognised in the SAU inter-entity account when an </w:t>
            </w:r>
            <w:r w:rsidRPr="00F92C32">
              <w:t>actual LSL expense</w:t>
            </w:r>
            <w:r>
              <w:t xml:space="preserve"> is first recognised</w:t>
            </w:r>
            <w:r w:rsidR="00C13B75">
              <w:t>.</w:t>
            </w:r>
            <w:r>
              <w:rPr>
                <w:rStyle w:val="FootnoteReference"/>
              </w:rPr>
              <w:footnoteReference w:id="22"/>
            </w:r>
          </w:p>
          <w:p w14:paraId="2612E020" w14:textId="44D4114D" w:rsidR="00DC461F" w:rsidRPr="00F92C32" w:rsidRDefault="00DC461F" w:rsidP="00DA412B">
            <w:pPr>
              <w:pStyle w:val="Listnumindent"/>
              <w:numPr>
                <w:ilvl w:val="6"/>
                <w:numId w:val="37"/>
              </w:numPr>
            </w:pPr>
            <w:r>
              <w:t xml:space="preserve">Any revaluation or write back of LSL </w:t>
            </w:r>
            <w:r w:rsidR="00147726">
              <w:t xml:space="preserve">which has been classified as an ‘Other economic flow’ </w:t>
            </w:r>
            <w:r>
              <w:t xml:space="preserve">does not change the LSL </w:t>
            </w:r>
            <w:r w:rsidR="00B85CFC">
              <w:t>e</w:t>
            </w:r>
            <w:r>
              <w:t>quivalent amounts in the SAU inter-entity account.</w:t>
            </w:r>
          </w:p>
          <w:p w14:paraId="3D2D0551" w14:textId="16A886ED" w:rsidR="00DC461F" w:rsidRDefault="00DC461F" w:rsidP="00DA412B">
            <w:pPr>
              <w:pStyle w:val="Listnumindent"/>
              <w:numPr>
                <w:ilvl w:val="6"/>
                <w:numId w:val="37"/>
              </w:numPr>
            </w:pPr>
            <w:r>
              <w:t xml:space="preserve">LSL </w:t>
            </w:r>
            <w:r w:rsidR="00B85CFC">
              <w:t>e</w:t>
            </w:r>
            <w:r>
              <w:t xml:space="preserve">quivalent </w:t>
            </w:r>
            <w:r w:rsidRPr="00F92C32">
              <w:t>accumulate</w:t>
            </w:r>
            <w:r>
              <w:t>s as a financial asset in a Department’s</w:t>
            </w:r>
            <w:r w:rsidRPr="00F92C32">
              <w:t xml:space="preserve"> SAU inter</w:t>
            </w:r>
            <w:r>
              <w:t>-</w:t>
            </w:r>
            <w:r w:rsidRPr="00F92C32">
              <w:t>entity account</w:t>
            </w:r>
            <w:r>
              <w:t>,</w:t>
            </w:r>
            <w:r w:rsidRPr="00F92C32">
              <w:t xml:space="preserve"> unti</w:t>
            </w:r>
            <w:r>
              <w:t>l used to fund LSL payouts.</w:t>
            </w:r>
          </w:p>
          <w:p w14:paraId="0331B82A" w14:textId="5A4CDE4E" w:rsidR="00DC461F" w:rsidRDefault="00DC461F" w:rsidP="00AF7284">
            <w:pPr>
              <w:pStyle w:val="Heading3numbered"/>
            </w:pPr>
            <w:bookmarkStart w:id="359" w:name="_Toc445459768"/>
            <w:bookmarkStart w:id="360" w:name="_Toc476658130"/>
            <w:r>
              <w:t xml:space="preserve">Transfer of </w:t>
            </w:r>
            <w:r w:rsidR="00B85CFC">
              <w:t>long service leave</w:t>
            </w:r>
            <w:r>
              <w:t xml:space="preserve"> balances between Departments</w:t>
            </w:r>
            <w:bookmarkEnd w:id="359"/>
            <w:bookmarkEnd w:id="360"/>
          </w:p>
          <w:p w14:paraId="2572DE87" w14:textId="51F9369E" w:rsidR="00DC461F" w:rsidRDefault="00DC461F" w:rsidP="007D39B6">
            <w:pPr>
              <w:pStyle w:val="Listnumindent"/>
              <w:numPr>
                <w:ilvl w:val="6"/>
                <w:numId w:val="79"/>
              </w:numPr>
            </w:pPr>
            <w:r>
              <w:t>When employees are transferred between Departments</w:t>
            </w:r>
            <w:r w:rsidR="004A6EBE">
              <w:t xml:space="preserve"> </w:t>
            </w:r>
            <w:r w:rsidR="00B85CFC" w:rsidRPr="00B85CFC">
              <w:rPr>
                <w:i/>
              </w:rPr>
              <w:t xml:space="preserve">as a result of a </w:t>
            </w:r>
            <w:r w:rsidR="00B85CFC">
              <w:rPr>
                <w:i/>
              </w:rPr>
              <w:t>m</w:t>
            </w:r>
            <w:r w:rsidR="004A6EBE" w:rsidRPr="007D39B6">
              <w:rPr>
                <w:i/>
              </w:rPr>
              <w:t xml:space="preserve">achinery of </w:t>
            </w:r>
            <w:r w:rsidR="00B85CFC">
              <w:rPr>
                <w:i/>
              </w:rPr>
              <w:t>g</w:t>
            </w:r>
            <w:r w:rsidR="004A6EBE" w:rsidRPr="007D39B6">
              <w:rPr>
                <w:i/>
              </w:rPr>
              <w:t>overnment change</w:t>
            </w:r>
            <w:r>
              <w:t xml:space="preserve">, the accumulated liability and </w:t>
            </w:r>
            <w:r w:rsidR="00147726">
              <w:t xml:space="preserve">the full amount of </w:t>
            </w:r>
            <w:r>
              <w:t xml:space="preserve">LSL </w:t>
            </w:r>
            <w:r w:rsidR="00B85CFC">
              <w:t>e</w:t>
            </w:r>
            <w:r>
              <w:t>quivalent must be transferred between the two Departments.</w:t>
            </w:r>
          </w:p>
          <w:p w14:paraId="3F6EF41F" w14:textId="7E1B7BF1" w:rsidR="00EB64DA" w:rsidRDefault="00EB64DA" w:rsidP="007D39B6">
            <w:pPr>
              <w:pStyle w:val="Listnumindent"/>
              <w:numPr>
                <w:ilvl w:val="6"/>
                <w:numId w:val="79"/>
              </w:numPr>
            </w:pPr>
            <w:r>
              <w:t>For all other transfers of employees between Departments (e.g. due to job transfers, promotions etc.</w:t>
            </w:r>
            <w:r w:rsidR="000D54C3">
              <w:t>)</w:t>
            </w:r>
            <w:r>
              <w:t>, only the accumulated liability is transferred betwee</w:t>
            </w:r>
            <w:r w:rsidR="00B85CFC">
              <w:t>n the two Departments. The LSL e</w:t>
            </w:r>
            <w:r>
              <w:t>quivalent is not transferred</w:t>
            </w:r>
          </w:p>
          <w:p w14:paraId="70955AA7" w14:textId="09472BCE" w:rsidR="00DC461F" w:rsidRDefault="00DC461F" w:rsidP="00AF7284">
            <w:pPr>
              <w:pStyle w:val="Heading3numbered"/>
            </w:pPr>
            <w:bookmarkStart w:id="361" w:name="_Toc469989892"/>
            <w:bookmarkStart w:id="362" w:name="_Toc469994068"/>
            <w:bookmarkStart w:id="363" w:name="_Toc469994600"/>
            <w:bookmarkStart w:id="364" w:name="_Toc469994740"/>
            <w:bookmarkStart w:id="365" w:name="_Toc445459770"/>
            <w:bookmarkStart w:id="366" w:name="_Toc476658131"/>
            <w:bookmarkEnd w:id="361"/>
            <w:bookmarkEnd w:id="362"/>
            <w:bookmarkEnd w:id="363"/>
            <w:bookmarkEnd w:id="364"/>
            <w:r>
              <w:t xml:space="preserve">Funding of </w:t>
            </w:r>
            <w:r w:rsidR="00B85CFC">
              <w:t>long service leave</w:t>
            </w:r>
            <w:r>
              <w:t xml:space="preserve"> when </w:t>
            </w:r>
            <w:r w:rsidR="00B85CFC">
              <w:t>long service leave</w:t>
            </w:r>
            <w:r>
              <w:t xml:space="preserve"> equivalent is exhausted</w:t>
            </w:r>
            <w:bookmarkEnd w:id="365"/>
            <w:bookmarkEnd w:id="366"/>
          </w:p>
          <w:p w14:paraId="2CC3BCFE" w14:textId="0A6845EC" w:rsidR="001F1B73" w:rsidRDefault="001F1B73" w:rsidP="00DA412B">
            <w:pPr>
              <w:pStyle w:val="Listnumindent"/>
              <w:numPr>
                <w:ilvl w:val="6"/>
                <w:numId w:val="56"/>
              </w:numPr>
            </w:pPr>
            <w:r>
              <w:t xml:space="preserve">Departments must ensure sufficient LSL equivalent is included in its budgeting processes, to cover any </w:t>
            </w:r>
            <w:r w:rsidR="00CD7FEA">
              <w:t xml:space="preserve">expected up-coming </w:t>
            </w:r>
            <w:r>
              <w:t>LSL payouts.</w:t>
            </w:r>
          </w:p>
          <w:p w14:paraId="6C362DB8" w14:textId="4BC9BDF6" w:rsidR="00DC461F" w:rsidRPr="00C6051F" w:rsidRDefault="00A2569E" w:rsidP="00DA412B">
            <w:pPr>
              <w:pStyle w:val="Listnumindent"/>
              <w:numPr>
                <w:ilvl w:val="6"/>
                <w:numId w:val="56"/>
              </w:numPr>
            </w:pPr>
            <w:r>
              <w:t>When</w:t>
            </w:r>
            <w:r w:rsidR="00DC461F">
              <w:t xml:space="preserve"> a Department’s</w:t>
            </w:r>
            <w:r w:rsidR="00972A02">
              <w:t xml:space="preserve"> expected</w:t>
            </w:r>
            <w:r w:rsidR="00DC461F">
              <w:t xml:space="preserve"> LSL payouts in a parti</w:t>
            </w:r>
            <w:r>
              <w:t xml:space="preserve">cular </w:t>
            </w:r>
            <w:r w:rsidR="00972A02">
              <w:t xml:space="preserve">budget </w:t>
            </w:r>
            <w:r>
              <w:t xml:space="preserve">year </w:t>
            </w:r>
            <w:r w:rsidR="00972A02">
              <w:t xml:space="preserve">is estimated to </w:t>
            </w:r>
            <w:r>
              <w:t>exceed</w:t>
            </w:r>
            <w:r w:rsidR="00DC461F">
              <w:t xml:space="preserve"> the funds available in its SAU inter-entity account, Departments may seek additional </w:t>
            </w:r>
            <w:r w:rsidR="00434F21">
              <w:t xml:space="preserve">supplementation by providing a </w:t>
            </w:r>
            <w:r w:rsidR="00DC461F">
              <w:t xml:space="preserve">submission </w:t>
            </w:r>
            <w:r w:rsidR="00434F21">
              <w:t xml:space="preserve">to the relevant cabinet committee </w:t>
            </w:r>
            <w:r w:rsidR="00DC461F">
              <w:t>for consideration.</w:t>
            </w:r>
          </w:p>
        </w:tc>
      </w:tr>
    </w:tbl>
    <w:p w14:paraId="520C9B46" w14:textId="77777777" w:rsidR="00DC461F" w:rsidRPr="00862803" w:rsidRDefault="00DC461F" w:rsidP="00857677">
      <w:pPr>
        <w:pStyle w:val="Heading2indent"/>
        <w:pageBreakBefore/>
      </w:pPr>
      <w:r w:rsidRPr="00862803">
        <w:lastRenderedPageBreak/>
        <w:t>Guidance</w:t>
      </w:r>
    </w:p>
    <w:p w14:paraId="48ADA1B3" w14:textId="3E5F149E" w:rsidR="00A64CC8" w:rsidRDefault="00A64CC8" w:rsidP="000B672C">
      <w:pPr>
        <w:pStyle w:val="Heading3indent"/>
      </w:pPr>
      <w:r>
        <w:t>Long service leave provision</w:t>
      </w:r>
    </w:p>
    <w:p w14:paraId="48211EA0" w14:textId="6C5FF083" w:rsidR="00A64CC8" w:rsidRDefault="00A64CC8" w:rsidP="00A64CC8">
      <w:pPr>
        <w:pStyle w:val="NormalIndent"/>
      </w:pPr>
      <w:r>
        <w:t>Accumulated LSL provisions for employees are a liability on each Department’s balance sheet. The LSL entitlement expense starts to accumulate when an employee completes a pre-qualifying period with a Department. In each accounting period an operating expense is recognised</w:t>
      </w:r>
      <w:r w:rsidR="00B85CFC">
        <w:t>,</w:t>
      </w:r>
      <w:r>
        <w:t xml:space="preserve"> which progressively increases the corresponding accumulated liability.</w:t>
      </w:r>
    </w:p>
    <w:p w14:paraId="39A0CEB8" w14:textId="77777777" w:rsidR="00A64CC8" w:rsidRDefault="00A64CC8" w:rsidP="00A64CC8">
      <w:pPr>
        <w:pStyle w:val="NormalIndent"/>
      </w:pPr>
      <w:r>
        <w:t>Generally, under existing public sector employment conditions, employees are entitled to three months LSL after 10 years of service and can be accessed on a pro-rata basis after seven years of service.</w:t>
      </w:r>
    </w:p>
    <w:p w14:paraId="69274694" w14:textId="2020D358" w:rsidR="00A64CC8" w:rsidRDefault="00A64CC8" w:rsidP="00A64CC8">
      <w:pPr>
        <w:pStyle w:val="NormalIndent"/>
      </w:pPr>
      <w:r>
        <w:t xml:space="preserve">LSL represents an obligation (or a liability) of the Department to its employees and any LSL outstanding at the end of each reporting period </w:t>
      </w:r>
      <w:r w:rsidR="00AE1D7C">
        <w:t>is</w:t>
      </w:r>
      <w:r>
        <w:t xml:space="preserve"> accrued.</w:t>
      </w:r>
    </w:p>
    <w:p w14:paraId="22CB7E86" w14:textId="1207B510" w:rsidR="00A64CC8" w:rsidRDefault="00A64CC8" w:rsidP="00A64CC8">
      <w:pPr>
        <w:pStyle w:val="NormalIndent"/>
      </w:pPr>
      <w:r>
        <w:t>Theoretically, the LSL entitlement starts when an employee commences with a Department. However, in practic</w:t>
      </w:r>
      <w:r w:rsidR="00C13B75">
        <w:t>e</w:t>
      </w:r>
      <w:r>
        <w:t>, a</w:t>
      </w:r>
      <w:r w:rsidR="00C13B75">
        <w:t>n</w:t>
      </w:r>
      <w:r>
        <w:t xml:space="preserve"> LSL expense is financially recognised when an employee completes a pre-qualifying period of service (although generally the legal obligation to pay out LSL does not commence until an employee has achieved seven years</w:t>
      </w:r>
      <w:r w:rsidR="00B85CFC">
        <w:t>’</w:t>
      </w:r>
      <w:r>
        <w:t xml:space="preserve"> continuous service).</w:t>
      </w:r>
    </w:p>
    <w:p w14:paraId="73C19D96" w14:textId="60A6D9EC" w:rsidR="00A64CC8" w:rsidRDefault="00A64CC8" w:rsidP="000B672C">
      <w:pPr>
        <w:pStyle w:val="Heading3indent"/>
      </w:pPr>
      <w:r>
        <w:t>Long service leave equivalent</w:t>
      </w:r>
    </w:p>
    <w:p w14:paraId="65C78B8F" w14:textId="1E423B57" w:rsidR="00A64CC8" w:rsidRDefault="00A64CC8" w:rsidP="00A64CC8">
      <w:pPr>
        <w:pStyle w:val="NormalIndent"/>
      </w:pPr>
      <w:r>
        <w:t xml:space="preserve">The component of a Department’s revenue stream, equal to actual </w:t>
      </w:r>
      <w:r w:rsidR="00B85CFC">
        <w:t xml:space="preserve">LSL </w:t>
      </w:r>
      <w:r>
        <w:t xml:space="preserve">expense incurred by an employee, becomes the amount of LSL </w:t>
      </w:r>
      <w:r w:rsidR="00B85CFC">
        <w:t>e</w:t>
      </w:r>
      <w:r>
        <w:t>quivalent available to a Department, recognised in its SAU balance. This amount is set aside notionally in the Consolidated Fund for</w:t>
      </w:r>
      <w:r w:rsidRPr="00FB79D5">
        <w:t xml:space="preserve"> </w:t>
      </w:r>
      <w:r>
        <w:t>the purposes of paying out</w:t>
      </w:r>
      <w:r w:rsidR="00C13B75">
        <w:t xml:space="preserve"> LSL </w:t>
      </w:r>
      <w:r>
        <w:t>when required.</w:t>
      </w:r>
      <w:r w:rsidRPr="00193607">
        <w:t xml:space="preserve"> </w:t>
      </w:r>
    </w:p>
    <w:p w14:paraId="3341E7C2" w14:textId="6DEB439B" w:rsidR="00DC461F" w:rsidRDefault="00DC461F" w:rsidP="000B672C">
      <w:pPr>
        <w:pStyle w:val="Heading3indent"/>
      </w:pPr>
      <w:r>
        <w:t xml:space="preserve">Drawdown of cash to fund </w:t>
      </w:r>
      <w:r w:rsidR="00B85CFC">
        <w:t xml:space="preserve">long service leave </w:t>
      </w:r>
      <w:r>
        <w:t>payouts</w:t>
      </w:r>
    </w:p>
    <w:p w14:paraId="0264CC28" w14:textId="758D8AB1" w:rsidR="00DC461F" w:rsidRDefault="00DC461F" w:rsidP="00DC461F">
      <w:pPr>
        <w:pStyle w:val="NormalIndent"/>
      </w:pPr>
      <w:r w:rsidRPr="00193607">
        <w:t xml:space="preserve">Cash payments for LSL, regardless of the period to which the liability relates, will be met by drawing against the </w:t>
      </w:r>
      <w:r>
        <w:t>LSL</w:t>
      </w:r>
      <w:r w:rsidR="00C13B75">
        <w:t xml:space="preserve"> </w:t>
      </w:r>
      <w:r w:rsidR="00B85CFC">
        <w:t>e</w:t>
      </w:r>
      <w:r w:rsidR="00C13B75">
        <w:t xml:space="preserve">quivalent balance </w:t>
      </w:r>
      <w:r w:rsidRPr="00193607">
        <w:t>in the SAU inter</w:t>
      </w:r>
      <w:r w:rsidR="00B75A81">
        <w:t>-</w:t>
      </w:r>
      <w:r w:rsidRPr="00193607">
        <w:t>entity account</w:t>
      </w:r>
      <w:r>
        <w:t xml:space="preserve">. It may be some years before payment is due, </w:t>
      </w:r>
      <w:r w:rsidR="0029768A">
        <w:t>and in that time</w:t>
      </w:r>
      <w:r>
        <w:t xml:space="preserve"> the balance in the SAU inter-entity account should </w:t>
      </w:r>
      <w:r w:rsidR="0029768A">
        <w:t xml:space="preserve">have increased sufficient to cover </w:t>
      </w:r>
      <w:r>
        <w:t>the amount due in cash.</w:t>
      </w:r>
      <w:r w:rsidRPr="00193607">
        <w:t xml:space="preserve"> </w:t>
      </w:r>
      <w:r w:rsidR="00190505">
        <w:t>If, because of an unexpected demand for LSL payouts, there is insufficient LSL equivalent balance available, the Department will need to apply for additional funding to cover the expected cash shortfall.</w:t>
      </w:r>
    </w:p>
    <w:p w14:paraId="6FF8C35D" w14:textId="77777777" w:rsidR="00DC461F" w:rsidRDefault="00DC461F" w:rsidP="00DC461F">
      <w:pPr>
        <w:pStyle w:val="NormalIndent"/>
      </w:pPr>
      <w:r>
        <w:t>Payment to employees will draw down against the Department’s LSL provision when:</w:t>
      </w:r>
    </w:p>
    <w:p w14:paraId="356BC6C4" w14:textId="77777777" w:rsidR="00DC461F" w:rsidRDefault="00DC461F" w:rsidP="00B47296">
      <w:pPr>
        <w:pStyle w:val="Bulletindent"/>
      </w:pPr>
      <w:r>
        <w:t>employees choose to use their L</w:t>
      </w:r>
      <w:r w:rsidR="00B91B56">
        <w:t>SL entitlement after it matures</w:t>
      </w:r>
      <w:r>
        <w:t xml:space="preserve"> </w:t>
      </w:r>
      <w:r w:rsidR="00B91B56">
        <w:t>(</w:t>
      </w:r>
      <w:r>
        <w:t>through the taking of leave, or via a monetary payout</w:t>
      </w:r>
      <w:r w:rsidR="00B91B56">
        <w:t>)</w:t>
      </w:r>
      <w:r>
        <w:t>; or</w:t>
      </w:r>
    </w:p>
    <w:p w14:paraId="02B5210D" w14:textId="520E8C08" w:rsidR="00DC461F" w:rsidRDefault="00DC461F" w:rsidP="00B47296">
      <w:pPr>
        <w:pStyle w:val="Bulletindent"/>
      </w:pPr>
      <w:r>
        <w:t xml:space="preserve">employees cease employment with the </w:t>
      </w:r>
      <w:r w:rsidR="00B85CFC">
        <w:t>Victorian Public Service</w:t>
      </w:r>
      <w:r>
        <w:t xml:space="preserve"> and their employment agreement entitles them to a monetary payout of part or all of their accrued benefit.</w:t>
      </w:r>
    </w:p>
    <w:p w14:paraId="79C1AD03" w14:textId="227AC894" w:rsidR="00A64CC8" w:rsidRDefault="00DC461F" w:rsidP="00DC461F">
      <w:pPr>
        <w:pStyle w:val="NormalIndent"/>
      </w:pPr>
      <w:r>
        <w:t xml:space="preserve">Departments do not need to apply to access LSL </w:t>
      </w:r>
      <w:r w:rsidR="00B85CFC">
        <w:t>e</w:t>
      </w:r>
      <w:r>
        <w:t xml:space="preserve">quivalent accumulating in the SAU inter entity account to pay out LSL unless the drawdown of cash for this purpose leaves the SAU closing balance at 30 June lower than the year’s opening balance at 1 July. </w:t>
      </w:r>
      <w:r w:rsidR="0029768A">
        <w:t xml:space="preserve">In this latter case, approval is required under </w:t>
      </w:r>
      <w:r w:rsidR="00B85CFC">
        <w:t>s</w:t>
      </w:r>
      <w:r w:rsidR="0029768A">
        <w:t>ection 33 of the FMA to access the prior year’s SAU balance.</w:t>
      </w:r>
    </w:p>
    <w:p w14:paraId="146F9D9A" w14:textId="19446700" w:rsidR="00A64CC8" w:rsidRDefault="00A64CC8" w:rsidP="00A64CC8">
      <w:pPr>
        <w:spacing w:line="252" w:lineRule="auto"/>
        <w:ind w:left="792"/>
      </w:pPr>
      <w:r>
        <w:t xml:space="preserve">For instructions on the application of a </w:t>
      </w:r>
      <w:r w:rsidR="00B85CFC">
        <w:t>s</w:t>
      </w:r>
      <w:r>
        <w:t xml:space="preserve">ection 33 request, please refer to </w:t>
      </w:r>
      <w:r w:rsidR="00B91B56">
        <w:t>Section 1.8</w:t>
      </w:r>
      <w:r w:rsidRPr="00B91B56">
        <w:t xml:space="preserve"> </w:t>
      </w:r>
      <w:r w:rsidR="00B91B56">
        <w:t>(a</w:t>
      </w:r>
      <w:r w:rsidRPr="00B91B56">
        <w:t xml:space="preserve">ccess to previously appropriated amounts under </w:t>
      </w:r>
      <w:r w:rsidR="00B85CFC">
        <w:t>s</w:t>
      </w:r>
      <w:r w:rsidRPr="00B91B56">
        <w:t>ection 33 of the FMA</w:t>
      </w:r>
      <w:r w:rsidR="00B91B56">
        <w:t>)</w:t>
      </w:r>
      <w:r w:rsidRPr="00B91B56">
        <w:t>.</w:t>
      </w:r>
    </w:p>
    <w:p w14:paraId="18FDC675" w14:textId="77777777" w:rsidR="00DC461F" w:rsidRDefault="00DC461F" w:rsidP="000B672C">
      <w:pPr>
        <w:pStyle w:val="Heading3indent"/>
      </w:pPr>
      <w:r>
        <w:lastRenderedPageBreak/>
        <w:t>Transfers of employees between Departments</w:t>
      </w:r>
    </w:p>
    <w:p w14:paraId="5AB3421B" w14:textId="77777777" w:rsidR="00DC461F" w:rsidRDefault="00DC461F" w:rsidP="00DC461F">
      <w:pPr>
        <w:pStyle w:val="NormalIndent"/>
      </w:pPr>
      <w:r>
        <w:t>Transfers of employees between Departments may</w:t>
      </w:r>
      <w:r w:rsidRPr="00F55F71">
        <w:t xml:space="preserve"> be effected as an annual adjustment covering net transferred entitlements of all transferred employees.</w:t>
      </w:r>
    </w:p>
    <w:p w14:paraId="29FBEA37" w14:textId="77777777" w:rsidR="00DC461F" w:rsidRDefault="00DC461F" w:rsidP="000B672C">
      <w:pPr>
        <w:pStyle w:val="Heading3indent"/>
      </w:pPr>
      <w:r>
        <w:t>Relevant materials</w:t>
      </w:r>
    </w:p>
    <w:p w14:paraId="405502BE" w14:textId="77777777" w:rsidR="00DC461F" w:rsidRDefault="00DC461F" w:rsidP="00B47296">
      <w:pPr>
        <w:pStyle w:val="Heading4indent"/>
      </w:pPr>
      <w:r>
        <w:t>Attachments</w:t>
      </w:r>
    </w:p>
    <w:p w14:paraId="185706CC" w14:textId="77777777" w:rsidR="00DC461F" w:rsidRPr="00A82054" w:rsidRDefault="00DC461F" w:rsidP="00DC461F">
      <w:pPr>
        <w:pStyle w:val="Bulletindent"/>
        <w:rPr>
          <w:lang w:eastAsia="en-US"/>
        </w:rPr>
      </w:pPr>
      <w:r w:rsidRPr="00051883">
        <w:rPr>
          <w:lang w:eastAsia="en-US"/>
        </w:rPr>
        <w:t xml:space="preserve">Attachment 4: </w:t>
      </w:r>
      <w:r w:rsidRPr="00A82054">
        <w:rPr>
          <w:lang w:eastAsia="en-US"/>
        </w:rPr>
        <w:t>Pro-forma j</w:t>
      </w:r>
      <w:r>
        <w:rPr>
          <w:lang w:eastAsia="en-US"/>
        </w:rPr>
        <w:t>ournal entries for LSL transactions</w:t>
      </w:r>
    </w:p>
    <w:p w14:paraId="5DAC766E" w14:textId="77777777" w:rsidR="00DC461F" w:rsidRPr="00A82054" w:rsidRDefault="00DC461F" w:rsidP="00DC461F">
      <w:pPr>
        <w:pStyle w:val="Bulletindent"/>
        <w:rPr>
          <w:lang w:eastAsia="en-US"/>
        </w:rPr>
      </w:pPr>
      <w:r w:rsidRPr="00051883">
        <w:rPr>
          <w:lang w:eastAsia="en-US"/>
        </w:rPr>
        <w:t>Attachment 5:</w:t>
      </w:r>
      <w:r w:rsidRPr="00A82054">
        <w:rPr>
          <w:lang w:eastAsia="en-US"/>
        </w:rPr>
        <w:t xml:space="preserve"> </w:t>
      </w:r>
      <w:r w:rsidRPr="00A82054">
        <w:t>Diagrammatical representation of long service leave funding flows (DEDJTR as the example)</w:t>
      </w:r>
      <w:r w:rsidRPr="00A82054">
        <w:rPr>
          <w:lang w:eastAsia="en-US"/>
        </w:rPr>
        <w:t xml:space="preserve"> </w:t>
      </w:r>
    </w:p>
    <w:p w14:paraId="3C484E40" w14:textId="77777777" w:rsidR="00DC461F" w:rsidRDefault="00DC461F" w:rsidP="00B47296">
      <w:pPr>
        <w:pStyle w:val="Heading4indent"/>
      </w:pPr>
      <w:r>
        <w:t>Accounting standards</w:t>
      </w:r>
    </w:p>
    <w:p w14:paraId="3CEEC37E" w14:textId="77777777" w:rsidR="00DC461F" w:rsidRDefault="00DC461F" w:rsidP="00DC461F">
      <w:pPr>
        <w:pStyle w:val="Bulletindent"/>
      </w:pPr>
      <w:r w:rsidRPr="00574EFF">
        <w:t xml:space="preserve">AASB 119 </w:t>
      </w:r>
      <w:r w:rsidRPr="00BC5ACF">
        <w:rPr>
          <w:i/>
        </w:rPr>
        <w:t>Employee Benefits</w:t>
      </w:r>
    </w:p>
    <w:p w14:paraId="2ECE953C" w14:textId="77777777" w:rsidR="00DC461F" w:rsidRDefault="00DC461F" w:rsidP="00B47296">
      <w:pPr>
        <w:pStyle w:val="Heading4indent"/>
      </w:pPr>
      <w:r>
        <w:t>Financial Reporting Directions</w:t>
      </w:r>
    </w:p>
    <w:p w14:paraId="463FFE2E" w14:textId="77777777" w:rsidR="00DC461F" w:rsidRPr="00E45789" w:rsidRDefault="00DC461F" w:rsidP="00DC461F">
      <w:pPr>
        <w:pStyle w:val="Bulletindent"/>
        <w:rPr>
          <w:i/>
          <w:lang w:eastAsia="en-US"/>
        </w:rPr>
      </w:pPr>
      <w:r w:rsidRPr="00BC5ACF">
        <w:t xml:space="preserve">FRD 17B </w:t>
      </w:r>
      <w:hyperlink r:id="rId30" w:tgtFrame="_none" w:history="1">
        <w:r w:rsidRPr="00574EFF">
          <w:rPr>
            <w:i/>
          </w:rPr>
          <w:t>Wage Inflation and Discount Rates for Employee Benefits</w:t>
        </w:r>
      </w:hyperlink>
    </w:p>
    <w:p w14:paraId="20070D52" w14:textId="77777777" w:rsidR="00DC461F" w:rsidRPr="00467954" w:rsidRDefault="00DC461F" w:rsidP="00DC461F"/>
    <w:p w14:paraId="4996B7C3" w14:textId="77777777" w:rsidR="00DC461F" w:rsidRDefault="00DC461F">
      <w:pPr>
        <w:spacing w:before="0" w:after="200"/>
        <w:rPr>
          <w:rFonts w:asciiTheme="majorHAnsi" w:eastAsiaTheme="majorEastAsia" w:hAnsiTheme="majorHAnsi" w:cstheme="majorBidi"/>
          <w:b/>
          <w:bCs/>
          <w:color w:val="201547"/>
          <w:spacing w:val="-1"/>
          <w:sz w:val="36"/>
          <w:szCs w:val="28"/>
        </w:rPr>
      </w:pPr>
      <w:r>
        <w:br w:type="page"/>
      </w:r>
    </w:p>
    <w:p w14:paraId="36149DCA" w14:textId="77777777" w:rsidR="00600DE7" w:rsidRDefault="00600DE7" w:rsidP="00600DE7">
      <w:pPr>
        <w:pStyle w:val="Heading1numbered"/>
      </w:pPr>
      <w:bookmarkStart w:id="367" w:name="_Toc476658132"/>
      <w:r>
        <w:lastRenderedPageBreak/>
        <w:t>A</w:t>
      </w:r>
      <w:r w:rsidR="00094AB6">
        <w:t>sset funding and management</w:t>
      </w:r>
      <w:r>
        <w:t xml:space="preserve"> policies</w:t>
      </w:r>
      <w:bookmarkEnd w:id="367"/>
    </w:p>
    <w:p w14:paraId="4FF62214" w14:textId="68D85909" w:rsidR="00600DE7" w:rsidRDefault="00600DE7" w:rsidP="00600DE7">
      <w:pPr>
        <w:pStyle w:val="Heading2numbered"/>
      </w:pPr>
      <w:bookmarkStart w:id="368" w:name="_Toc445459748"/>
      <w:bookmarkStart w:id="369" w:name="_Toc476658133"/>
      <w:r>
        <w:t xml:space="preserve">Asset </w:t>
      </w:r>
      <w:bookmarkEnd w:id="368"/>
      <w:r>
        <w:t>funding</w:t>
      </w:r>
      <w:bookmarkEnd w:id="369"/>
    </w:p>
    <w:p w14:paraId="30862EFC" w14:textId="77777777" w:rsidR="00600DE7" w:rsidRDefault="00600DE7" w:rsidP="00600DE7">
      <w:pPr>
        <w:pStyle w:val="Spacer"/>
      </w:pPr>
    </w:p>
    <w:tbl>
      <w:tblPr>
        <w:tblStyle w:val="Mandatory"/>
        <w:tblW w:w="7483" w:type="dxa"/>
        <w:tblLook w:val="0620" w:firstRow="1" w:lastRow="0" w:firstColumn="0" w:lastColumn="0" w:noHBand="1" w:noVBand="1"/>
      </w:tblPr>
      <w:tblGrid>
        <w:gridCol w:w="7483"/>
      </w:tblGrid>
      <w:tr w:rsidR="00600DE7" w:rsidRPr="002F16A9" w14:paraId="79F1DC15" w14:textId="77777777" w:rsidTr="00AF7284">
        <w:trPr>
          <w:cnfStyle w:val="100000000000" w:firstRow="1" w:lastRow="0" w:firstColumn="0" w:lastColumn="0" w:oddVBand="0" w:evenVBand="0" w:oddHBand="0" w:evenHBand="0" w:firstRowFirstColumn="0" w:firstRowLastColumn="0" w:lastRowFirstColumn="0" w:lastRowLastColumn="0"/>
          <w:cantSplit/>
        </w:trPr>
        <w:tc>
          <w:tcPr>
            <w:tcW w:w="7483" w:type="dxa"/>
          </w:tcPr>
          <w:p w14:paraId="26C54B98" w14:textId="4EDC8EB4" w:rsidR="00600DE7" w:rsidRPr="007D39B6" w:rsidRDefault="00600DE7" w:rsidP="00EF4E93">
            <w:pPr>
              <w:ind w:left="-57"/>
              <w:rPr>
                <w:sz w:val="20"/>
                <w:szCs w:val="20"/>
              </w:rPr>
            </w:pPr>
            <w:r w:rsidRPr="007D39B6">
              <w:rPr>
                <w:sz w:val="20"/>
                <w:szCs w:val="20"/>
              </w:rPr>
              <w:t>Mandatory requirements</w:t>
            </w:r>
            <w:r w:rsidRPr="007D39B6">
              <w:rPr>
                <w:sz w:val="20"/>
                <w:szCs w:val="20"/>
              </w:rPr>
              <w:br/>
              <w:t>ASSET FUNDING</w:t>
            </w:r>
          </w:p>
        </w:tc>
      </w:tr>
      <w:tr w:rsidR="00600DE7" w:rsidRPr="002F16A9" w14:paraId="6FE911C7" w14:textId="77777777" w:rsidTr="00AF7284">
        <w:trPr>
          <w:trHeight w:val="34"/>
        </w:trPr>
        <w:tc>
          <w:tcPr>
            <w:tcW w:w="7483" w:type="dxa"/>
          </w:tcPr>
          <w:p w14:paraId="4E9517FA" w14:textId="77777777" w:rsidR="00600DE7" w:rsidRPr="002F16A9" w:rsidRDefault="00600DE7" w:rsidP="00DA412B">
            <w:pPr>
              <w:pStyle w:val="Heading3numbered"/>
              <w:numPr>
                <w:ilvl w:val="4"/>
                <w:numId w:val="29"/>
              </w:numPr>
            </w:pPr>
            <w:bookmarkStart w:id="370" w:name="_Toc445459749"/>
            <w:bookmarkStart w:id="371" w:name="_Toc455155238"/>
            <w:bookmarkStart w:id="372" w:name="_Toc476658134"/>
            <w:r w:rsidRPr="002F16A9">
              <w:t xml:space="preserve">Asset </w:t>
            </w:r>
            <w:r w:rsidR="00B91B56">
              <w:t xml:space="preserve">investment </w:t>
            </w:r>
            <w:r w:rsidRPr="002F16A9">
              <w:t>proposals considerations</w:t>
            </w:r>
            <w:bookmarkEnd w:id="370"/>
            <w:bookmarkEnd w:id="371"/>
            <w:bookmarkEnd w:id="372"/>
          </w:p>
          <w:p w14:paraId="48C59F85" w14:textId="5166FAD6" w:rsidR="00600DE7" w:rsidRDefault="00A07B6F" w:rsidP="00AF7284">
            <w:pPr>
              <w:pStyle w:val="NormalIndent"/>
            </w:pPr>
            <w:r>
              <w:t xml:space="preserve">A Department’s asset </w:t>
            </w:r>
            <w:r w:rsidR="00B91B56">
              <w:t xml:space="preserve">investment </w:t>
            </w:r>
            <w:r>
              <w:t xml:space="preserve">proposal </w:t>
            </w:r>
            <w:r w:rsidR="00600DE7" w:rsidRPr="002F16A9">
              <w:t xml:space="preserve">must demonstrate that </w:t>
            </w:r>
            <w:r>
              <w:t>the</w:t>
            </w:r>
            <w:r w:rsidR="00600DE7" w:rsidRPr="002F16A9">
              <w:t xml:space="preserve"> proposed asset investment is the most effective</w:t>
            </w:r>
            <w:r>
              <w:t xml:space="preserve"> and efficient</w:t>
            </w:r>
            <w:r w:rsidR="00600DE7" w:rsidRPr="002F16A9">
              <w:t xml:space="preserve"> means </w:t>
            </w:r>
            <w:r>
              <w:t>of</w:t>
            </w:r>
            <w:r w:rsidR="00600DE7" w:rsidRPr="002F16A9">
              <w:t xml:space="preserve"> deliver</w:t>
            </w:r>
            <w:r>
              <w:t>ing</w:t>
            </w:r>
            <w:r w:rsidR="00600DE7" w:rsidRPr="002F16A9">
              <w:t xml:space="preserve"> the Department's outputs</w:t>
            </w:r>
            <w:r>
              <w:t>,</w:t>
            </w:r>
            <w:r w:rsidR="00600DE7" w:rsidRPr="002F16A9">
              <w:t xml:space="preserve"> and meet</w:t>
            </w:r>
            <w:r w:rsidR="006552A9">
              <w:t>s</w:t>
            </w:r>
            <w:r w:rsidR="00600DE7" w:rsidRPr="002F16A9">
              <w:t xml:space="preserve"> Government objectives. </w:t>
            </w:r>
          </w:p>
          <w:p w14:paraId="60859904" w14:textId="77777777" w:rsidR="00600DE7" w:rsidRPr="002F16A9" w:rsidRDefault="00600DE7" w:rsidP="00AF7284">
            <w:pPr>
              <w:pStyle w:val="NormalIndent"/>
            </w:pPr>
            <w:r w:rsidRPr="002F16A9">
              <w:t xml:space="preserve">The </w:t>
            </w:r>
            <w:r w:rsidR="00A07B6F">
              <w:t>proposal</w:t>
            </w:r>
            <w:r w:rsidRPr="002F16A9">
              <w:t xml:space="preserve"> should also consider:</w:t>
            </w:r>
          </w:p>
          <w:p w14:paraId="004C1748" w14:textId="77777777" w:rsidR="00600DE7" w:rsidRPr="002F16A9" w:rsidRDefault="00600DE7" w:rsidP="00AF7284">
            <w:pPr>
              <w:pStyle w:val="Listnumindent"/>
            </w:pPr>
            <w:r w:rsidRPr="002F16A9">
              <w:t>any alternatives such as leasing, outsourcing and/or private provision; and</w:t>
            </w:r>
          </w:p>
          <w:p w14:paraId="0225DD0F" w14:textId="77777777" w:rsidR="00600DE7" w:rsidRPr="002F16A9" w:rsidRDefault="00600DE7" w:rsidP="00AF7284">
            <w:pPr>
              <w:pStyle w:val="Listnumindent"/>
            </w:pPr>
            <w:r w:rsidRPr="002F16A9">
              <w:t>the implications on output provision performance (quantity, quality, timeliness, revenue and expense) of the investment.</w:t>
            </w:r>
          </w:p>
          <w:p w14:paraId="019E28E6" w14:textId="77777777" w:rsidR="00600DE7" w:rsidRPr="002F16A9" w:rsidRDefault="00600DE7" w:rsidP="00AF7284">
            <w:pPr>
              <w:pStyle w:val="Heading3numbered"/>
            </w:pPr>
            <w:bookmarkStart w:id="373" w:name="_Toc445459750"/>
            <w:bookmarkStart w:id="374" w:name="_Toc455155239"/>
            <w:bookmarkStart w:id="375" w:name="_Toc476658135"/>
            <w:r w:rsidRPr="002F16A9">
              <w:t>Order of funding for approved asset investment programs</w:t>
            </w:r>
            <w:bookmarkEnd w:id="373"/>
            <w:bookmarkEnd w:id="374"/>
            <w:bookmarkEnd w:id="375"/>
          </w:p>
          <w:p w14:paraId="2B93B3FF" w14:textId="77777777" w:rsidR="00600DE7" w:rsidRPr="002F16A9" w:rsidRDefault="00B91B56" w:rsidP="00AF7284">
            <w:pPr>
              <w:pStyle w:val="NormalIndent"/>
            </w:pPr>
            <w:r>
              <w:t xml:space="preserve">A </w:t>
            </w:r>
            <w:r w:rsidR="00600DE7" w:rsidRPr="002F16A9">
              <w:t>Department’s approved asset investment program must be funded from the following sources in the specified order below:</w:t>
            </w:r>
            <w:r w:rsidR="00600DE7" w:rsidRPr="002F16A9">
              <w:rPr>
                <w:vertAlign w:val="superscript"/>
              </w:rPr>
              <w:footnoteReference w:id="23"/>
            </w:r>
          </w:p>
          <w:p w14:paraId="5C6CF6EB" w14:textId="77777777" w:rsidR="00600DE7" w:rsidRDefault="00B91B56" w:rsidP="00DA412B">
            <w:pPr>
              <w:pStyle w:val="Listnumindent"/>
              <w:numPr>
                <w:ilvl w:val="6"/>
                <w:numId w:val="33"/>
              </w:numPr>
              <w:rPr>
                <w:szCs w:val="17"/>
              </w:rPr>
            </w:pPr>
            <w:r>
              <w:t>a</w:t>
            </w:r>
            <w:r w:rsidR="00600DE7">
              <w:t xml:space="preserve">ny </w:t>
            </w:r>
            <w:r w:rsidR="00600DE7" w:rsidRPr="002F16A9">
              <w:t>funds provided by the Commonwealth towards specific projects</w:t>
            </w:r>
            <w:r w:rsidR="00600DE7">
              <w:t>;</w:t>
            </w:r>
          </w:p>
          <w:p w14:paraId="5B4971AE" w14:textId="61C53D49" w:rsidR="00600DE7" w:rsidRPr="00E56B4D" w:rsidRDefault="00473761" w:rsidP="00DA412B">
            <w:pPr>
              <w:pStyle w:val="Listnumindent"/>
              <w:numPr>
                <w:ilvl w:val="6"/>
                <w:numId w:val="33"/>
              </w:numPr>
              <w:rPr>
                <w:szCs w:val="17"/>
              </w:rPr>
            </w:pPr>
            <w:r>
              <w:rPr>
                <w:szCs w:val="17"/>
              </w:rPr>
              <w:t xml:space="preserve">the unspent </w:t>
            </w:r>
            <w:r w:rsidR="003F66B7">
              <w:rPr>
                <w:szCs w:val="17"/>
              </w:rPr>
              <w:t xml:space="preserve">depreciation equivalent </w:t>
            </w:r>
            <w:r>
              <w:rPr>
                <w:szCs w:val="17"/>
              </w:rPr>
              <w:t>receivable held</w:t>
            </w:r>
            <w:r w:rsidRPr="00E56B4D">
              <w:rPr>
                <w:szCs w:val="17"/>
              </w:rPr>
              <w:t xml:space="preserve"> </w:t>
            </w:r>
            <w:r w:rsidR="00600DE7" w:rsidRPr="00E56B4D">
              <w:rPr>
                <w:szCs w:val="17"/>
              </w:rPr>
              <w:t xml:space="preserve">in the SAU </w:t>
            </w:r>
            <w:r w:rsidR="00B91B56">
              <w:rPr>
                <w:szCs w:val="17"/>
              </w:rPr>
              <w:t>i</w:t>
            </w:r>
            <w:r w:rsidR="00600DE7" w:rsidRPr="00E56B4D">
              <w:rPr>
                <w:szCs w:val="17"/>
              </w:rPr>
              <w:t>nter-entity Account;</w:t>
            </w:r>
          </w:p>
          <w:p w14:paraId="2B9B1806" w14:textId="77777777" w:rsidR="00600DE7" w:rsidRPr="00E56B4D" w:rsidRDefault="00EA60FB" w:rsidP="00AF7284">
            <w:pPr>
              <w:pStyle w:val="Listnumindent"/>
              <w:rPr>
                <w:szCs w:val="17"/>
              </w:rPr>
            </w:pPr>
            <w:r>
              <w:rPr>
                <w:szCs w:val="17"/>
              </w:rPr>
              <w:t xml:space="preserve">net </w:t>
            </w:r>
            <w:r w:rsidR="00B91B56">
              <w:rPr>
                <w:szCs w:val="17"/>
              </w:rPr>
              <w:t>p</w:t>
            </w:r>
            <w:r w:rsidR="00600DE7" w:rsidRPr="00E56B4D">
              <w:rPr>
                <w:szCs w:val="17"/>
              </w:rPr>
              <w:t>roceeds of asset sales; and</w:t>
            </w:r>
          </w:p>
          <w:p w14:paraId="77F562A9" w14:textId="77777777" w:rsidR="00600DE7" w:rsidRPr="00E56B4D" w:rsidRDefault="00B91B56" w:rsidP="00AF7284">
            <w:pPr>
              <w:pStyle w:val="Listnumindent"/>
              <w:rPr>
                <w:szCs w:val="17"/>
              </w:rPr>
            </w:pPr>
            <w:r>
              <w:rPr>
                <w:szCs w:val="17"/>
              </w:rPr>
              <w:t xml:space="preserve">additional </w:t>
            </w:r>
            <w:r w:rsidR="00600DE7" w:rsidRPr="00E56B4D">
              <w:rPr>
                <w:szCs w:val="17"/>
              </w:rPr>
              <w:t>Additions to the Net Asset Base (ATNAB) appropriation funding.</w:t>
            </w:r>
          </w:p>
          <w:p w14:paraId="1BD6EE59" w14:textId="77777777" w:rsidR="00600DE7" w:rsidRPr="002F16A9" w:rsidRDefault="00600DE7" w:rsidP="00AF7284">
            <w:pPr>
              <w:pStyle w:val="Heading3numbered"/>
            </w:pPr>
            <w:bookmarkStart w:id="376" w:name="_Toc445459751"/>
            <w:bookmarkStart w:id="377" w:name="_Toc455155240"/>
            <w:bookmarkStart w:id="378" w:name="_Toc476658136"/>
            <w:r w:rsidRPr="002F16A9">
              <w:t>Asset replacement</w:t>
            </w:r>
            <w:bookmarkEnd w:id="376"/>
            <w:bookmarkEnd w:id="377"/>
            <w:bookmarkEnd w:id="378"/>
          </w:p>
          <w:p w14:paraId="1F82970A" w14:textId="77777777" w:rsidR="00600DE7" w:rsidRPr="002F16A9" w:rsidRDefault="00600DE7" w:rsidP="00A07B6F">
            <w:pPr>
              <w:pStyle w:val="NormalIndent"/>
            </w:pPr>
            <w:r w:rsidRPr="002F16A9">
              <w:t xml:space="preserve">A Department must not replace an asset unless doing so is consistent with </w:t>
            </w:r>
            <w:r w:rsidR="00A07B6F">
              <w:t>a</w:t>
            </w:r>
            <w:r w:rsidRPr="002F16A9">
              <w:t xml:space="preserve"> Department's approved overall asset investment plan and </w:t>
            </w:r>
            <w:r>
              <w:t>Government priorities</w:t>
            </w:r>
            <w:r w:rsidRPr="002F16A9">
              <w:t>.</w:t>
            </w:r>
          </w:p>
        </w:tc>
      </w:tr>
    </w:tbl>
    <w:p w14:paraId="5B5BF381" w14:textId="77777777" w:rsidR="00600DE7" w:rsidRPr="00862803" w:rsidRDefault="00600DE7" w:rsidP="00056F4E">
      <w:pPr>
        <w:pStyle w:val="Heading2indent"/>
      </w:pPr>
      <w:r w:rsidRPr="00862803">
        <w:t>Guidance</w:t>
      </w:r>
    </w:p>
    <w:p w14:paraId="71999193" w14:textId="77777777" w:rsidR="00600DE7" w:rsidRDefault="00600DE7" w:rsidP="00600DE7">
      <w:pPr>
        <w:pStyle w:val="NormalIndent"/>
      </w:pPr>
      <w:r>
        <w:t xml:space="preserve">This guidance serves to provide Departments direction on the policies and processes </w:t>
      </w:r>
      <w:r w:rsidR="00C13B75">
        <w:t xml:space="preserve">regarding </w:t>
      </w:r>
      <w:r>
        <w:t>the funding of asset investment.</w:t>
      </w:r>
    </w:p>
    <w:p w14:paraId="2B729BF4" w14:textId="3E0C444E" w:rsidR="00600DE7" w:rsidRDefault="00600DE7" w:rsidP="00CF109D">
      <w:pPr>
        <w:pStyle w:val="NormalIndent"/>
      </w:pPr>
      <w:r>
        <w:t xml:space="preserve">This guidance should also be read in conjunction with the </w:t>
      </w:r>
      <w:hyperlink r:id="rId31" w:history="1">
        <w:r w:rsidRPr="00B91B56">
          <w:rPr>
            <w:rStyle w:val="Hyperlink"/>
          </w:rPr>
          <w:t>Asset Management Accountability Framework (AMAF)</w:t>
        </w:r>
      </w:hyperlink>
      <w:r>
        <w:t xml:space="preserve">. </w:t>
      </w:r>
      <w:r w:rsidR="002F7485" w:rsidRPr="002F7485">
        <w:t xml:space="preserve">The framework seeks to ensure that public assets are managed with consideration for their whole lifecycle costs and to optimise service delivery outcomes. The framework establishes a number of mandatory requirements and provides guidance on good practice for asset management. </w:t>
      </w:r>
    </w:p>
    <w:p w14:paraId="66D5BAAD" w14:textId="77777777" w:rsidR="00600DE7" w:rsidRDefault="00600DE7" w:rsidP="000B672C">
      <w:pPr>
        <w:pStyle w:val="Heading3indent"/>
      </w:pPr>
      <w:r>
        <w:t>Departmental investment prioritising and approval</w:t>
      </w:r>
    </w:p>
    <w:p w14:paraId="3A674DBF" w14:textId="4C6AF039" w:rsidR="00EF4E93" w:rsidRDefault="002F7485">
      <w:pPr>
        <w:pStyle w:val="NormalIndent"/>
      </w:pPr>
      <w:r>
        <w:t>Departments are expected to</w:t>
      </w:r>
      <w:r w:rsidR="00EA7AC4">
        <w:t xml:space="preserve"> allocate</w:t>
      </w:r>
      <w:r>
        <w:t xml:space="preserve"> sufficient funding to </w:t>
      </w:r>
      <w:r w:rsidRPr="002F7485">
        <w:t>maintain their assets within their allocated budget. Where service delivery objectives can be improved through additional investment, funds can be sought through the budget process for consideration agains</w:t>
      </w:r>
      <w:r>
        <w:t>t other investment priorities.</w:t>
      </w:r>
    </w:p>
    <w:p w14:paraId="05B35063" w14:textId="1B84381C" w:rsidR="00EF4E93" w:rsidRDefault="00EF4E93" w:rsidP="00EF4E93">
      <w:pPr>
        <w:pStyle w:val="NormalIndent"/>
      </w:pPr>
      <w:r>
        <w:lastRenderedPageBreak/>
        <w:t xml:space="preserve">Departments should consider using the Investment Management Standard (IMS) to help </w:t>
      </w:r>
      <w:r w:rsidR="00E4472D">
        <w:t>develop</w:t>
      </w:r>
      <w:r>
        <w:t xml:space="preserve"> and prioritise investment proposals. The IMS is a collection of simple ideas and practices that help organisations direct resources to deliver the best outcomes.</w:t>
      </w:r>
    </w:p>
    <w:p w14:paraId="0BBE9BB4" w14:textId="77777777" w:rsidR="00600DE7" w:rsidRDefault="00600DE7" w:rsidP="00B47296">
      <w:pPr>
        <w:pStyle w:val="Heading4indent"/>
      </w:pPr>
      <w:r>
        <w:t>Content of asset investment proposals</w:t>
      </w:r>
    </w:p>
    <w:p w14:paraId="4221F90E" w14:textId="05F96AF8" w:rsidR="00EF4E93" w:rsidRDefault="00E4472D" w:rsidP="00600DE7">
      <w:pPr>
        <w:pStyle w:val="NormalIndent"/>
      </w:pPr>
      <w:r w:rsidRPr="00E4472D">
        <w:t xml:space="preserve">Asset investment proposals should be supported by a business case that includes sufficient documentation and analysis to support the proposal. The investment lifecycle and High Value High Risk guidelines provide comprehensive guidance to assist in the development of a business case. </w:t>
      </w:r>
    </w:p>
    <w:p w14:paraId="2A67F640" w14:textId="3C73274D" w:rsidR="00600DE7" w:rsidRDefault="00600DE7" w:rsidP="00600DE7">
      <w:pPr>
        <w:pStyle w:val="NormalIndent"/>
      </w:pPr>
      <w:r>
        <w:t>Departments must ensure any funding proposals for asset investment have considered:</w:t>
      </w:r>
    </w:p>
    <w:p w14:paraId="586D2E61" w14:textId="25D488E4" w:rsidR="00600DE7" w:rsidRPr="002F16A9" w:rsidRDefault="00600DE7" w:rsidP="00600DE7">
      <w:pPr>
        <w:pStyle w:val="Bulletindent"/>
      </w:pPr>
      <w:r w:rsidRPr="002F16A9">
        <w:t>alternative funding sources that may offset the cost of a proposal, provided the funding source is relevant to the proposal being considered</w:t>
      </w:r>
      <w:r w:rsidR="00686C5E">
        <w:rPr>
          <w:rStyle w:val="FootnoteReference"/>
        </w:rPr>
        <w:footnoteReference w:id="24"/>
      </w:r>
      <w:r>
        <w:t>; and</w:t>
      </w:r>
    </w:p>
    <w:p w14:paraId="6F9917E0" w14:textId="77777777" w:rsidR="00600DE7" w:rsidRPr="002F16A9" w:rsidRDefault="00600DE7" w:rsidP="00600DE7">
      <w:pPr>
        <w:pStyle w:val="Bulletindent"/>
      </w:pPr>
      <w:r>
        <w:t>t</w:t>
      </w:r>
      <w:r w:rsidRPr="002F16A9">
        <w:t>hat any contingencies calculations included in a proposal are well-developed and robust.</w:t>
      </w:r>
    </w:p>
    <w:p w14:paraId="5F35E801" w14:textId="704F3D50" w:rsidR="00600DE7" w:rsidRDefault="00600DE7" w:rsidP="00600DE7">
      <w:pPr>
        <w:pStyle w:val="NormalIndent"/>
      </w:pPr>
      <w:r>
        <w:t>These asset investment proposals are assessed by central agencies, with recommendations made to Cabinet advising which asset investment proposals to approve.</w:t>
      </w:r>
    </w:p>
    <w:p w14:paraId="3212637A" w14:textId="77777777" w:rsidR="00600DE7" w:rsidRPr="006979A0" w:rsidRDefault="00600DE7" w:rsidP="00B47296">
      <w:pPr>
        <w:pStyle w:val="Heading4indent"/>
      </w:pPr>
      <w:r w:rsidRPr="006979A0">
        <w:t>Cabinet process</w:t>
      </w:r>
    </w:p>
    <w:p w14:paraId="067F157E" w14:textId="069E95E3" w:rsidR="00600DE7" w:rsidRDefault="00600DE7" w:rsidP="00600DE7">
      <w:pPr>
        <w:pStyle w:val="NormalIndent"/>
      </w:pPr>
      <w:r>
        <w:t>Cabinet assesses Departmental asset submissions on a whole-</w:t>
      </w:r>
      <w:r w:rsidRPr="00290F65">
        <w:t>of</w:t>
      </w:r>
      <w:r>
        <w:t>-</w:t>
      </w:r>
      <w:r w:rsidR="00075C74">
        <w:t>g</w:t>
      </w:r>
      <w:r w:rsidRPr="00290F65">
        <w:t xml:space="preserve">overnment basis, </w:t>
      </w:r>
      <w:r>
        <w:t>to inform</w:t>
      </w:r>
      <w:r w:rsidRPr="00290F65">
        <w:t xml:space="preserve"> the </w:t>
      </w:r>
      <w:r>
        <w:t xml:space="preserve">Government’s </w:t>
      </w:r>
      <w:r w:rsidRPr="00290F65">
        <w:t>asset investme</w:t>
      </w:r>
      <w:r>
        <w:t>nt program</w:t>
      </w:r>
      <w:r w:rsidRPr="00290F65">
        <w:t>.</w:t>
      </w:r>
    </w:p>
    <w:p w14:paraId="745EA986" w14:textId="18FDEC4E" w:rsidR="00C87A88" w:rsidRDefault="00600DE7" w:rsidP="00C705F1">
      <w:pPr>
        <w:pStyle w:val="NormalIndent"/>
      </w:pPr>
      <w:r>
        <w:t xml:space="preserve">Each Department’s asset investment </w:t>
      </w:r>
      <w:r w:rsidR="00E4472D">
        <w:t xml:space="preserve">proposals </w:t>
      </w:r>
      <w:r>
        <w:t xml:space="preserve">will then be evaluated and approved by the relevant Cabinet </w:t>
      </w:r>
      <w:r w:rsidR="00075C74">
        <w:t>c</w:t>
      </w:r>
      <w:r>
        <w:t xml:space="preserve">ommittee on a project-specific basis. </w:t>
      </w:r>
    </w:p>
    <w:p w14:paraId="49806777" w14:textId="00610AB0" w:rsidR="00600DE7" w:rsidRDefault="00C87A88" w:rsidP="00286209">
      <w:pPr>
        <w:pStyle w:val="NormalIndent"/>
      </w:pPr>
      <w:r>
        <w:t xml:space="preserve">The approval of the Treasurer is required if a Department wishes to </w:t>
      </w:r>
      <w:r w:rsidR="00075C74">
        <w:t>r</w:t>
      </w:r>
      <w:r w:rsidR="00EA60FB">
        <w:t>e</w:t>
      </w:r>
      <w:r w:rsidR="004979AD">
        <w:t>-</w:t>
      </w:r>
      <w:proofErr w:type="spellStart"/>
      <w:r w:rsidR="00EA60FB">
        <w:t>cashflow</w:t>
      </w:r>
      <w:proofErr w:type="spellEnd"/>
      <w:r w:rsidR="00EA60FB">
        <w:t xml:space="preserve"> </w:t>
      </w:r>
      <w:r>
        <w:t xml:space="preserve">the </w:t>
      </w:r>
      <w:r w:rsidR="00EA60FB">
        <w:t>Total Estimated Investment (TEI) of a project across the forward estimates.</w:t>
      </w:r>
    </w:p>
    <w:p w14:paraId="401820CE" w14:textId="77777777" w:rsidR="00E4472D" w:rsidRDefault="00E4472D" w:rsidP="00E4472D">
      <w:pPr>
        <w:pStyle w:val="NormalIndent"/>
      </w:pPr>
      <w:r>
        <w:t>The approval of the relevant Cabinet committee will be required if a Department wishes to substitute another project in place of one that has been approved.</w:t>
      </w:r>
    </w:p>
    <w:p w14:paraId="5E0E1F17" w14:textId="605F2C2C" w:rsidR="00600DE7" w:rsidRDefault="00600DE7" w:rsidP="00600DE7">
      <w:pPr>
        <w:pStyle w:val="NormalIndent"/>
      </w:pPr>
      <w:r w:rsidRPr="00BA755B">
        <w:t xml:space="preserve">Decisions </w:t>
      </w:r>
      <w:r w:rsidR="00C13B75">
        <w:t>regarding m</w:t>
      </w:r>
      <w:r w:rsidRPr="00BA755B">
        <w:t>ajor asset refurbishment, replacement, purchase or construction of new assets will be based on an assessment of whether such expenditure is the best way for the Department to meet its future output delivery commitments.</w:t>
      </w:r>
    </w:p>
    <w:p w14:paraId="5ECB8D8B" w14:textId="77777777" w:rsidR="00600DE7" w:rsidRDefault="00600DE7" w:rsidP="00B47296">
      <w:pPr>
        <w:pStyle w:val="Heading4indent"/>
      </w:pPr>
      <w:r>
        <w:t>DTF’s role in determining asset funding decisions</w:t>
      </w:r>
    </w:p>
    <w:p w14:paraId="420205AE" w14:textId="21830C1F" w:rsidR="00600DE7" w:rsidRDefault="00600DE7" w:rsidP="00600DE7">
      <w:pPr>
        <w:pStyle w:val="NormalIndent"/>
      </w:pPr>
      <w:r w:rsidRPr="008903A1">
        <w:t>As part of its role advi</w:t>
      </w:r>
      <w:r w:rsidR="00A82D32">
        <w:t xml:space="preserve">sing </w:t>
      </w:r>
      <w:r w:rsidR="00075C74">
        <w:t xml:space="preserve">the </w:t>
      </w:r>
      <w:r w:rsidRPr="008903A1">
        <w:t xml:space="preserve">Government on investment decisions, DTF will consider the robustness of supporting information. </w:t>
      </w:r>
      <w:r w:rsidR="00A82D32">
        <w:t xml:space="preserve">For </w:t>
      </w:r>
      <w:r w:rsidRPr="008903A1">
        <w:t xml:space="preserve">asset funding proposals, this may include information derived from </w:t>
      </w:r>
      <w:r w:rsidR="00EF4E93">
        <w:t>A</w:t>
      </w:r>
      <w:r w:rsidRPr="008903A1">
        <w:t xml:space="preserve">sset </w:t>
      </w:r>
      <w:r w:rsidR="00EF4E93">
        <w:t>Information M</w:t>
      </w:r>
      <w:r w:rsidRPr="008903A1">
        <w:t xml:space="preserve">anagement </w:t>
      </w:r>
      <w:r w:rsidR="00EF4E93">
        <w:t>S</w:t>
      </w:r>
      <w:r w:rsidRPr="008903A1">
        <w:t xml:space="preserve">ystems and </w:t>
      </w:r>
      <w:r w:rsidR="00EF4E93">
        <w:t xml:space="preserve">asset </w:t>
      </w:r>
      <w:r w:rsidRPr="008903A1">
        <w:t xml:space="preserve">strategies (e.g. a case for funding where there is existing asset stock may include information on the stock condition and how the proposal is consistent with the </w:t>
      </w:r>
      <w:r>
        <w:t>Department</w:t>
      </w:r>
      <w:r w:rsidRPr="008903A1">
        <w:t>’s asset management strategy).</w:t>
      </w:r>
    </w:p>
    <w:p w14:paraId="62A0CB89" w14:textId="77777777" w:rsidR="00600DE7" w:rsidRDefault="00600DE7" w:rsidP="000B672C">
      <w:pPr>
        <w:pStyle w:val="Heading3indent"/>
      </w:pPr>
      <w:r>
        <w:t>Funding of approved asset proposals</w:t>
      </w:r>
    </w:p>
    <w:p w14:paraId="4DAD331E" w14:textId="3CA14251" w:rsidR="00600DE7" w:rsidRDefault="00EF4E93" w:rsidP="00600DE7">
      <w:pPr>
        <w:pStyle w:val="NormalIndent"/>
      </w:pPr>
      <w:r w:rsidRPr="00EF4E93">
        <w:t xml:space="preserve">Asset investments </w:t>
      </w:r>
      <w:r w:rsidR="00E4472D">
        <w:t xml:space="preserve">can be funded from a variety of </w:t>
      </w:r>
      <w:r w:rsidRPr="00EF4E93">
        <w:t>sources, th</w:t>
      </w:r>
      <w:r w:rsidR="00E4472D">
        <w:t xml:space="preserve">at should be drawn down in following </w:t>
      </w:r>
      <w:r w:rsidRPr="00EF4E93">
        <w:t xml:space="preserve">order: </w:t>
      </w:r>
    </w:p>
    <w:p w14:paraId="088ED267" w14:textId="77777777" w:rsidR="00EA77A9" w:rsidRPr="00EA77A9" w:rsidRDefault="00EA77A9" w:rsidP="00DA412B">
      <w:pPr>
        <w:pStyle w:val="NormalIndent"/>
        <w:numPr>
          <w:ilvl w:val="0"/>
          <w:numId w:val="17"/>
        </w:numPr>
      </w:pPr>
      <w:r w:rsidRPr="00797ADC">
        <w:rPr>
          <w:b/>
        </w:rPr>
        <w:t>Commonwealth funds for specific projects:</w:t>
      </w:r>
      <w:r>
        <w:t xml:space="preserve"> if such funds are received, these must be applied against these projects as</w:t>
      </w:r>
      <w:r w:rsidR="00A82D32">
        <w:t xml:space="preserve"> the priority source of funding;</w:t>
      </w:r>
    </w:p>
    <w:p w14:paraId="6A2A7E5A" w14:textId="43AAC0A2" w:rsidR="00600DE7" w:rsidRDefault="00E8192E" w:rsidP="00DA412B">
      <w:pPr>
        <w:pStyle w:val="NormalIndent"/>
        <w:numPr>
          <w:ilvl w:val="0"/>
          <w:numId w:val="17"/>
        </w:numPr>
      </w:pPr>
      <w:r>
        <w:rPr>
          <w:b/>
        </w:rPr>
        <w:lastRenderedPageBreak/>
        <w:t>Depreciation equivalent</w:t>
      </w:r>
      <w:r w:rsidRPr="00B62FBB">
        <w:rPr>
          <w:b/>
        </w:rPr>
        <w:t xml:space="preserve"> </w:t>
      </w:r>
      <w:r w:rsidR="00600DE7" w:rsidRPr="00B62FBB">
        <w:rPr>
          <w:b/>
        </w:rPr>
        <w:t xml:space="preserve">in the SAU </w:t>
      </w:r>
      <w:r w:rsidR="00075C74">
        <w:rPr>
          <w:b/>
        </w:rPr>
        <w:t>i</w:t>
      </w:r>
      <w:r w:rsidR="00600DE7" w:rsidRPr="00B62FBB">
        <w:rPr>
          <w:b/>
        </w:rPr>
        <w:t>nter-entity Account:</w:t>
      </w:r>
      <w:r w:rsidR="00600DE7">
        <w:t xml:space="preserve"> </w:t>
      </w:r>
      <w:r w:rsidR="00075C74">
        <w:t>t</w:t>
      </w:r>
      <w:r w:rsidR="00600DE7">
        <w:t xml:space="preserve">hese funds comprise </w:t>
      </w:r>
      <w:r w:rsidR="0011776C">
        <w:t>the</w:t>
      </w:r>
      <w:r w:rsidR="00600DE7">
        <w:t xml:space="preserve"> balance held by each Department</w:t>
      </w:r>
      <w:r w:rsidR="0011776C">
        <w:t xml:space="preserve"> in its SAU inter</w:t>
      </w:r>
      <w:r w:rsidR="0011776C">
        <w:noBreakHyphen/>
        <w:t xml:space="preserve">entity account </w:t>
      </w:r>
      <w:r w:rsidR="00600DE7">
        <w:t xml:space="preserve">for current and prior years’ </w:t>
      </w:r>
      <w:r w:rsidR="0011776C">
        <w:t xml:space="preserve">unspent </w:t>
      </w:r>
      <w:r w:rsidR="00600DE7">
        <w:t xml:space="preserve">depreciation </w:t>
      </w:r>
      <w:r w:rsidR="0011776C">
        <w:t>equivalent revenue</w:t>
      </w:r>
      <w:r w:rsidR="00600DE7">
        <w:t xml:space="preserve"> (</w:t>
      </w:r>
      <w:r w:rsidR="00075C74">
        <w:t>refer to</w:t>
      </w:r>
      <w:r w:rsidR="00600DE7">
        <w:t xml:space="preserve"> </w:t>
      </w:r>
      <w:r w:rsidR="00075C74">
        <w:t>S</w:t>
      </w:r>
      <w:r w:rsidR="00600DE7" w:rsidRPr="00B91B56">
        <w:t xml:space="preserve">ection </w:t>
      </w:r>
      <w:r w:rsidR="00EA77A9" w:rsidRPr="00B91B56">
        <w:t>2.</w:t>
      </w:r>
      <w:r w:rsidR="00B91B56">
        <w:t>2</w:t>
      </w:r>
      <w:r w:rsidR="00600DE7">
        <w:t xml:space="preserve"> for more information);</w:t>
      </w:r>
    </w:p>
    <w:p w14:paraId="7B3E20BA" w14:textId="4897B10C" w:rsidR="00600DE7" w:rsidRDefault="00EA60FB" w:rsidP="00DA412B">
      <w:pPr>
        <w:pStyle w:val="NormalIndent"/>
        <w:numPr>
          <w:ilvl w:val="0"/>
          <w:numId w:val="17"/>
        </w:numPr>
      </w:pPr>
      <w:r>
        <w:rPr>
          <w:b/>
        </w:rPr>
        <w:t>Net p</w:t>
      </w:r>
      <w:r w:rsidR="00600DE7" w:rsidRPr="00674BED">
        <w:rPr>
          <w:b/>
        </w:rPr>
        <w:t xml:space="preserve">roceeds </w:t>
      </w:r>
      <w:r>
        <w:rPr>
          <w:b/>
        </w:rPr>
        <w:t>from</w:t>
      </w:r>
      <w:r w:rsidR="00600DE7" w:rsidRPr="00674BED">
        <w:rPr>
          <w:b/>
        </w:rPr>
        <w:t xml:space="preserve"> asset sales:</w:t>
      </w:r>
      <w:r w:rsidR="00600DE7">
        <w:t xml:space="preserve"> </w:t>
      </w:r>
      <w:r w:rsidR="00075C74">
        <w:t>t</w:t>
      </w:r>
      <w:r w:rsidR="00600DE7">
        <w:t xml:space="preserve">hese proceeds may be used to fund asset investment, provided they have been subject to a </w:t>
      </w:r>
      <w:r w:rsidR="00075C74">
        <w:t>s</w:t>
      </w:r>
      <w:r w:rsidR="00600DE7">
        <w:t xml:space="preserve">ection 29 FMA agreement. Where a purchase of a new asset involves the trade-in of an existing asset, the use of the proceeds from the trade-in to fund the assets </w:t>
      </w:r>
      <w:r w:rsidR="00EA77A9">
        <w:t>will re</w:t>
      </w:r>
      <w:r w:rsidR="00B9490D">
        <w:t xml:space="preserve">quire </w:t>
      </w:r>
      <w:r w:rsidR="00075C74">
        <w:t>s</w:t>
      </w:r>
      <w:r w:rsidR="00B9490D">
        <w:t xml:space="preserve">ection 29 approval (see </w:t>
      </w:r>
      <w:r w:rsidR="00075C74">
        <w:t>S</w:t>
      </w:r>
      <w:r w:rsidR="00EA77A9">
        <w:t>ection 1.</w:t>
      </w:r>
      <w:r w:rsidR="00B91B56">
        <w:t>1</w:t>
      </w:r>
      <w:r w:rsidR="00EA77A9">
        <w:t xml:space="preserve"> for more information)</w:t>
      </w:r>
      <w:r w:rsidR="00600DE7">
        <w:t>; and</w:t>
      </w:r>
    </w:p>
    <w:p w14:paraId="197A7E34" w14:textId="28EB7087" w:rsidR="00600DE7" w:rsidRDefault="00600DE7" w:rsidP="00DA412B">
      <w:pPr>
        <w:pStyle w:val="NormalIndent"/>
        <w:numPr>
          <w:ilvl w:val="0"/>
          <w:numId w:val="17"/>
        </w:numPr>
      </w:pPr>
      <w:r w:rsidRPr="00B62FBB">
        <w:rPr>
          <w:b/>
        </w:rPr>
        <w:t>A</w:t>
      </w:r>
      <w:r>
        <w:rPr>
          <w:b/>
        </w:rPr>
        <w:t>dditions to the Net Asset Base (A</w:t>
      </w:r>
      <w:r w:rsidRPr="00B62FBB">
        <w:rPr>
          <w:b/>
        </w:rPr>
        <w:t>TNAB</w:t>
      </w:r>
      <w:r>
        <w:rPr>
          <w:b/>
        </w:rPr>
        <w:t>) appropriation</w:t>
      </w:r>
      <w:r w:rsidRPr="00B62FBB">
        <w:rPr>
          <w:b/>
        </w:rPr>
        <w:t xml:space="preserve"> funding:</w:t>
      </w:r>
      <w:r>
        <w:t xml:space="preserve"> </w:t>
      </w:r>
      <w:r w:rsidR="00075C74">
        <w:t>s</w:t>
      </w:r>
      <w:r w:rsidR="00A82D32">
        <w:t xml:space="preserve">hould </w:t>
      </w:r>
      <w:r>
        <w:t xml:space="preserve">the first </w:t>
      </w:r>
      <w:r w:rsidR="00EA60FB">
        <w:t xml:space="preserve">three </w:t>
      </w:r>
      <w:r>
        <w:t xml:space="preserve">sources </w:t>
      </w:r>
      <w:r w:rsidR="00A82D32">
        <w:t>be</w:t>
      </w:r>
      <w:r>
        <w:t xml:space="preserve"> insufficient to fund the </w:t>
      </w:r>
      <w:r w:rsidR="00A82D32">
        <w:t xml:space="preserve">Department’s </w:t>
      </w:r>
      <w:r>
        <w:t xml:space="preserve">approved investment program, the provision of additional </w:t>
      </w:r>
      <w:r w:rsidR="00686C5E">
        <w:t xml:space="preserve">ATNAB </w:t>
      </w:r>
      <w:r>
        <w:t>appropriation by Government may be required.</w:t>
      </w:r>
    </w:p>
    <w:p w14:paraId="0B484379" w14:textId="6B48B033" w:rsidR="00600DE7" w:rsidRDefault="00600DE7" w:rsidP="00600DE7">
      <w:pPr>
        <w:pStyle w:val="NormalIndent"/>
      </w:pPr>
      <w:r>
        <w:t xml:space="preserve">The order of the drawdown of funds used to fund asset investment </w:t>
      </w:r>
      <w:r w:rsidR="00EA60FB">
        <w:t xml:space="preserve">is </w:t>
      </w:r>
      <w:r w:rsidR="00EA77A9">
        <w:t>also</w:t>
      </w:r>
      <w:r>
        <w:t xml:space="preserve"> listed in the </w:t>
      </w:r>
      <w:r w:rsidR="00686C5E">
        <w:t>M</w:t>
      </w:r>
      <w:r>
        <w:t>andatory requirements of this section.</w:t>
      </w:r>
      <w:r>
        <w:rPr>
          <w:rStyle w:val="FootnoteReference"/>
        </w:rPr>
        <w:footnoteReference w:id="25"/>
      </w:r>
    </w:p>
    <w:p w14:paraId="40D78F0B" w14:textId="0E4F260B" w:rsidR="00600DE7" w:rsidRDefault="00600DE7" w:rsidP="000B672C">
      <w:pPr>
        <w:pStyle w:val="Heading3indent"/>
      </w:pPr>
      <w:r>
        <w:t>Department</w:t>
      </w:r>
      <w:r w:rsidR="00EF4E93">
        <w:t>al</w:t>
      </w:r>
      <w:r>
        <w:t xml:space="preserve"> asset investment program</w:t>
      </w:r>
    </w:p>
    <w:p w14:paraId="289763C7" w14:textId="77777777" w:rsidR="00600DE7" w:rsidRDefault="00600DE7" w:rsidP="00600DE7">
      <w:pPr>
        <w:pStyle w:val="NormalIndent"/>
      </w:pPr>
      <w:r>
        <w:t>Asset investment proposals approved by Government form part of a Department’s overall asset investment program.</w:t>
      </w:r>
    </w:p>
    <w:p w14:paraId="52DB8768" w14:textId="77777777" w:rsidR="00600DE7" w:rsidRDefault="00600DE7" w:rsidP="00600DE7">
      <w:pPr>
        <w:pStyle w:val="NormalIndent"/>
      </w:pPr>
      <w:r>
        <w:t>A Departments’ asset investment spending during any Budget year will consist of:</w:t>
      </w:r>
    </w:p>
    <w:p w14:paraId="4AE690E0" w14:textId="77777777" w:rsidR="00600DE7" w:rsidRDefault="00600DE7" w:rsidP="00600DE7">
      <w:pPr>
        <w:pStyle w:val="Bulletindent"/>
      </w:pPr>
      <w:r>
        <w:t>the first year’s expenditure on new major asset investments approved by the relevant Cabinet Committee to be started in the Budget year;</w:t>
      </w:r>
      <w:r w:rsidR="00EA60FB">
        <w:t xml:space="preserve"> and</w:t>
      </w:r>
    </w:p>
    <w:p w14:paraId="0A50B107" w14:textId="16CF3259" w:rsidR="00600DE7" w:rsidRDefault="00E4472D">
      <w:pPr>
        <w:pStyle w:val="Bulletindent"/>
      </w:pPr>
      <w:r>
        <w:t>estimated annual cash flows for those</w:t>
      </w:r>
      <w:r w:rsidR="00600DE7">
        <w:t xml:space="preserve"> assets approved by Government </w:t>
      </w:r>
      <w:r>
        <w:t xml:space="preserve">in </w:t>
      </w:r>
      <w:r w:rsidR="00600DE7">
        <w:t>previous years’ investment programs.</w:t>
      </w:r>
    </w:p>
    <w:p w14:paraId="54A4103D" w14:textId="77777777" w:rsidR="00600DE7" w:rsidRDefault="00600DE7" w:rsidP="000B672C">
      <w:pPr>
        <w:pStyle w:val="Heading3indent"/>
      </w:pPr>
      <w:r>
        <w:t xml:space="preserve">Recognition of the operating costs associated with assets </w:t>
      </w:r>
    </w:p>
    <w:p w14:paraId="350FE4EE" w14:textId="4D253023" w:rsidR="00600DE7" w:rsidRDefault="00E4472D" w:rsidP="00600DE7">
      <w:pPr>
        <w:pStyle w:val="NormalIndent"/>
      </w:pPr>
      <w:r>
        <w:t>O</w:t>
      </w:r>
      <w:r w:rsidR="00600DE7">
        <w:t xml:space="preserve">perating costs associated with the holding of assets </w:t>
      </w:r>
      <w:r>
        <w:t>include</w:t>
      </w:r>
      <w:r w:rsidR="00600DE7">
        <w:t xml:space="preserve"> depreciation expense and Capital Assets Charge (CAC).</w:t>
      </w:r>
      <w:r w:rsidR="00600DE7" w:rsidRPr="002D70C4">
        <w:t xml:space="preserve"> </w:t>
      </w:r>
      <w:r w:rsidR="00600DE7">
        <w:t>Departments should recognise the impact of these operating costs in asset proposals, and throughout the life of the asset.</w:t>
      </w:r>
    </w:p>
    <w:p w14:paraId="3DCE4019" w14:textId="77777777" w:rsidR="00600DE7" w:rsidRDefault="00600DE7" w:rsidP="00600DE7">
      <w:pPr>
        <w:pStyle w:val="NormalIndent"/>
      </w:pPr>
      <w:r>
        <w:t xml:space="preserve">The inclusion of depreciation expense on controlled assets in output costing and pricing recognises that assets have a finite working life, and enables funds to be allocated (via </w:t>
      </w:r>
      <w:r w:rsidR="00EA60FB">
        <w:t>depreciation equivalent</w:t>
      </w:r>
      <w:r>
        <w:t xml:space="preserve">) to finance the acquisition of new or replacement assets to meet future service delivery plans. </w:t>
      </w:r>
    </w:p>
    <w:p w14:paraId="2C7DDD6B" w14:textId="08ACD2E8" w:rsidR="00600DE7" w:rsidRDefault="00600DE7" w:rsidP="00600DE7">
      <w:pPr>
        <w:pStyle w:val="NormalIndent"/>
      </w:pPr>
      <w:r>
        <w:t xml:space="preserve">The CAC recognises the cost to Government of the capital invested in the assets (see </w:t>
      </w:r>
      <w:r w:rsidR="0071403E">
        <w:t>S</w:t>
      </w:r>
      <w:r w:rsidRPr="00B91B56">
        <w:t xml:space="preserve">ection </w:t>
      </w:r>
      <w:r w:rsidR="00B91B56" w:rsidRPr="00B91B56">
        <w:t>3</w:t>
      </w:r>
      <w:r w:rsidRPr="00B91B56">
        <w:t>.2</w:t>
      </w:r>
      <w:r>
        <w:t xml:space="preserve"> for more information on CAC).</w:t>
      </w:r>
    </w:p>
    <w:p w14:paraId="73A41FA5" w14:textId="77777777" w:rsidR="00600DE7" w:rsidRDefault="00600DE7" w:rsidP="000B672C">
      <w:pPr>
        <w:pStyle w:val="Heading3indent"/>
      </w:pPr>
      <w:r>
        <w:t>Managing growth in asset base</w:t>
      </w:r>
    </w:p>
    <w:p w14:paraId="7A5EEB9B" w14:textId="06B594E8" w:rsidR="00600DE7" w:rsidRDefault="00600DE7" w:rsidP="00600DE7">
      <w:pPr>
        <w:pStyle w:val="NormalIndent"/>
      </w:pPr>
      <w:r>
        <w:t xml:space="preserve">Where additional capital funding is approved </w:t>
      </w:r>
      <w:r w:rsidR="00A82D32">
        <w:t>that</w:t>
      </w:r>
      <w:r>
        <w:t xml:space="preserve"> leads to a material increase in the total value of depreciable assets held by a Department</w:t>
      </w:r>
      <w:r w:rsidR="006D6CA0">
        <w:t>,</w:t>
      </w:r>
      <w:r w:rsidR="00A82D32">
        <w:t xml:space="preserve"> Departments are responsib</w:t>
      </w:r>
      <w:r>
        <w:t>l</w:t>
      </w:r>
      <w:r w:rsidR="00A82D32">
        <w:t>e</w:t>
      </w:r>
      <w:r>
        <w:t xml:space="preserve"> </w:t>
      </w:r>
      <w:r w:rsidR="00A82D32">
        <w:t>for</w:t>
      </w:r>
      <w:r>
        <w:t xml:space="preserve"> ensur</w:t>
      </w:r>
      <w:r w:rsidR="00A82D32">
        <w:t>ing</w:t>
      </w:r>
      <w:r>
        <w:t xml:space="preserve"> output revenue remains sufficient to meet the </w:t>
      </w:r>
      <w:r w:rsidR="00791DDA">
        <w:t>costs of the management of the assets that supports the delivery of outputs.</w:t>
      </w:r>
    </w:p>
    <w:p w14:paraId="2681A474" w14:textId="77777777" w:rsidR="00600DE7" w:rsidRDefault="00600DE7" w:rsidP="00600DE7">
      <w:pPr>
        <w:pStyle w:val="NormalIndent"/>
      </w:pPr>
      <w:r>
        <w:t>This may be achieved by:</w:t>
      </w:r>
    </w:p>
    <w:p w14:paraId="568EB574" w14:textId="77777777" w:rsidR="00600DE7" w:rsidRDefault="00600DE7" w:rsidP="00600DE7">
      <w:pPr>
        <w:pStyle w:val="Bulletindent"/>
      </w:pPr>
      <w:r>
        <w:t xml:space="preserve">agreeing with Government that additional outputs will be produced from additional revenue from appropriations; </w:t>
      </w:r>
    </w:p>
    <w:p w14:paraId="3BD40FA3" w14:textId="5D24560D" w:rsidR="00600DE7" w:rsidRDefault="00600DE7" w:rsidP="00600DE7">
      <w:pPr>
        <w:pStyle w:val="Bulletindent"/>
      </w:pPr>
      <w:r>
        <w:t>increasing revenue from non-appropriation sources;</w:t>
      </w:r>
      <w:r w:rsidR="00E8192E">
        <w:t xml:space="preserve"> </w:t>
      </w:r>
      <w:r>
        <w:t xml:space="preserve">or </w:t>
      </w:r>
    </w:p>
    <w:p w14:paraId="5168BAA7" w14:textId="77777777" w:rsidR="00600DE7" w:rsidRDefault="00600DE7" w:rsidP="00600DE7">
      <w:pPr>
        <w:pStyle w:val="Bulletindent"/>
      </w:pPr>
      <w:r>
        <w:t xml:space="preserve">negotiating increases in output prices. </w:t>
      </w:r>
    </w:p>
    <w:p w14:paraId="07769115" w14:textId="47574298" w:rsidR="00600DE7" w:rsidRDefault="00600DE7" w:rsidP="00600DE7">
      <w:pPr>
        <w:pStyle w:val="Heading2numbered"/>
      </w:pPr>
      <w:bookmarkStart w:id="379" w:name="_Toc445459756"/>
      <w:bookmarkStart w:id="380" w:name="_Toc476658137"/>
      <w:r>
        <w:lastRenderedPageBreak/>
        <w:t>Capital Assets Charge</w:t>
      </w:r>
      <w:bookmarkEnd w:id="379"/>
      <w:bookmarkEnd w:id="380"/>
    </w:p>
    <w:tbl>
      <w:tblPr>
        <w:tblStyle w:val="Mandatory"/>
        <w:tblW w:w="7483" w:type="dxa"/>
        <w:tblLook w:val="0620" w:firstRow="1" w:lastRow="0" w:firstColumn="0" w:lastColumn="0" w:noHBand="1" w:noVBand="1"/>
      </w:tblPr>
      <w:tblGrid>
        <w:gridCol w:w="7483"/>
      </w:tblGrid>
      <w:tr w:rsidR="00600DE7" w:rsidRPr="00FD2F4C" w14:paraId="602494D9" w14:textId="77777777" w:rsidTr="00AF7284">
        <w:trPr>
          <w:cnfStyle w:val="100000000000" w:firstRow="1" w:lastRow="0" w:firstColumn="0" w:lastColumn="0" w:oddVBand="0" w:evenVBand="0" w:oddHBand="0" w:evenHBand="0" w:firstRowFirstColumn="0" w:firstRowLastColumn="0" w:lastRowFirstColumn="0" w:lastRowLastColumn="0"/>
          <w:trHeight w:val="720"/>
        </w:trPr>
        <w:tc>
          <w:tcPr>
            <w:tcW w:w="7483" w:type="dxa"/>
          </w:tcPr>
          <w:p w14:paraId="6AA89337" w14:textId="6F821057" w:rsidR="00600DE7" w:rsidRPr="007D39B6" w:rsidRDefault="00600DE7" w:rsidP="00091495">
            <w:pPr>
              <w:rPr>
                <w:sz w:val="20"/>
                <w:szCs w:val="20"/>
              </w:rPr>
            </w:pPr>
            <w:r w:rsidRPr="007D39B6">
              <w:rPr>
                <w:sz w:val="20"/>
                <w:szCs w:val="20"/>
              </w:rPr>
              <w:t>Mandatory requirements</w:t>
            </w:r>
            <w:r w:rsidRPr="007D39B6">
              <w:rPr>
                <w:sz w:val="20"/>
                <w:szCs w:val="20"/>
              </w:rPr>
              <w:br/>
              <w:t>CAPITAL ASSETS CHARGE</w:t>
            </w:r>
          </w:p>
        </w:tc>
      </w:tr>
      <w:tr w:rsidR="00600DE7" w:rsidRPr="007B3C7A" w14:paraId="6A380CA1" w14:textId="77777777" w:rsidTr="00AF7284">
        <w:trPr>
          <w:trHeight w:val="589"/>
        </w:trPr>
        <w:tc>
          <w:tcPr>
            <w:tcW w:w="7483" w:type="dxa"/>
          </w:tcPr>
          <w:p w14:paraId="766F29F0" w14:textId="79A2A432" w:rsidR="00600DE7" w:rsidRDefault="008919EB" w:rsidP="00DA412B">
            <w:pPr>
              <w:pStyle w:val="Heading3numbered"/>
              <w:numPr>
                <w:ilvl w:val="4"/>
                <w:numId w:val="28"/>
              </w:numPr>
            </w:pPr>
            <w:bookmarkStart w:id="381" w:name="_Toc445459757"/>
            <w:bookmarkStart w:id="382" w:name="_Toc476658138"/>
            <w:r>
              <w:t>Capital Assets Charge</w:t>
            </w:r>
            <w:r w:rsidR="00600DE7">
              <w:t xml:space="preserve"> levy rate</w:t>
            </w:r>
            <w:bookmarkEnd w:id="381"/>
            <w:bookmarkEnd w:id="382"/>
          </w:p>
          <w:p w14:paraId="21A8C59D" w14:textId="6923CFC4" w:rsidR="00600DE7" w:rsidRDefault="00600DE7" w:rsidP="00AF7284">
            <w:pPr>
              <w:pStyle w:val="NormalIndent"/>
            </w:pPr>
            <w:r>
              <w:t xml:space="preserve">A Department must apply a </w:t>
            </w:r>
            <w:r w:rsidR="00091495">
              <w:t>Capital Assets Charge (</w:t>
            </w:r>
            <w:r>
              <w:t>CAC</w:t>
            </w:r>
            <w:r w:rsidR="00091495">
              <w:t>)</w:t>
            </w:r>
            <w:r>
              <w:t xml:space="preserve"> levy rate of </w:t>
            </w:r>
            <w:r w:rsidR="00A23D10">
              <w:t>eight</w:t>
            </w:r>
            <w:r>
              <w:t xml:space="preserve"> per cent on the </w:t>
            </w:r>
            <w:r w:rsidR="006C3E80">
              <w:t xml:space="preserve">budgeted </w:t>
            </w:r>
            <w:r>
              <w:t>written down value of controlled non-current physical assets</w:t>
            </w:r>
            <w:r w:rsidR="00BE364E">
              <w:t xml:space="preserve"> of the Department and its portfolio (general government sector) agencies</w:t>
            </w:r>
            <w:r w:rsidR="00CA2EC0">
              <w:t xml:space="preserve">, as </w:t>
            </w:r>
            <w:r w:rsidR="006C3E80">
              <w:t>per the amount in</w:t>
            </w:r>
            <w:r w:rsidR="00CA2EC0">
              <w:t xml:space="preserve"> Budget Paper No. 5 </w:t>
            </w:r>
            <w:r w:rsidR="00CA2EC0" w:rsidRPr="007D39B6">
              <w:rPr>
                <w:i/>
              </w:rPr>
              <w:t>Statement of Finances</w:t>
            </w:r>
            <w:r>
              <w:t>.</w:t>
            </w:r>
          </w:p>
          <w:p w14:paraId="62B1E163" w14:textId="5DC8EFE3" w:rsidR="00600DE7" w:rsidRDefault="00CA2EC0" w:rsidP="00AF7284">
            <w:pPr>
              <w:pStyle w:val="Heading3numbered"/>
            </w:pPr>
            <w:bookmarkStart w:id="383" w:name="_Toc445459758"/>
            <w:bookmarkStart w:id="384" w:name="_Toc476658139"/>
            <w:r>
              <w:t xml:space="preserve">Charging of </w:t>
            </w:r>
            <w:r w:rsidR="00091495">
              <w:t>Capital Assets Charge</w:t>
            </w:r>
            <w:r w:rsidR="00600DE7">
              <w:t xml:space="preserve"> </w:t>
            </w:r>
            <w:bookmarkEnd w:id="383"/>
            <w:r>
              <w:t>to actuals</w:t>
            </w:r>
            <w:bookmarkEnd w:id="384"/>
          </w:p>
          <w:p w14:paraId="63E91CD4" w14:textId="1DE688F8" w:rsidR="00581FF7" w:rsidRDefault="00600DE7">
            <w:pPr>
              <w:pStyle w:val="NormalIndent"/>
            </w:pPr>
            <w:r>
              <w:t xml:space="preserve">A Department must apply the CAC at one-twelfth of </w:t>
            </w:r>
            <w:r w:rsidR="00A23D10">
              <w:t>eight</w:t>
            </w:r>
            <w:r>
              <w:t xml:space="preserve"> per cent of the </w:t>
            </w:r>
            <w:r w:rsidR="00CA2EC0">
              <w:t xml:space="preserve">budgeted </w:t>
            </w:r>
            <w:r>
              <w:t>written down value of controlled non-current physical assets</w:t>
            </w:r>
            <w:r w:rsidR="00CA2EC0">
              <w:t xml:space="preserve"> (as per Budget Paper No. 5)</w:t>
            </w:r>
            <w:r>
              <w:t>, each month.</w:t>
            </w:r>
          </w:p>
          <w:p w14:paraId="44BAD5CE" w14:textId="2EE9E3C2" w:rsidR="00600DE7" w:rsidRDefault="00D03A1C">
            <w:pPr>
              <w:pStyle w:val="Heading3numbered"/>
            </w:pPr>
            <w:bookmarkStart w:id="385" w:name="_Toc445459760"/>
            <w:bookmarkStart w:id="386" w:name="_Toc476658140"/>
            <w:r>
              <w:t xml:space="preserve">Capital Assets Charge </w:t>
            </w:r>
            <w:r w:rsidR="00600DE7">
              <w:t xml:space="preserve">allocation </w:t>
            </w:r>
            <w:bookmarkEnd w:id="385"/>
            <w:r w:rsidR="006F293B">
              <w:t>across outputs</w:t>
            </w:r>
            <w:bookmarkEnd w:id="386"/>
          </w:p>
          <w:p w14:paraId="4EA9085E" w14:textId="77777777" w:rsidR="00600DE7" w:rsidRDefault="00600DE7" w:rsidP="00AF7284">
            <w:pPr>
              <w:pStyle w:val="NormalIndent"/>
            </w:pPr>
            <w:r>
              <w:t>CAC must be allocated across a Department’s outputs as part of Departmental budgeting processes.</w:t>
            </w:r>
          </w:p>
          <w:p w14:paraId="45B2D165" w14:textId="0E0482C6" w:rsidR="00600DE7" w:rsidRPr="009A776A" w:rsidRDefault="00600DE7" w:rsidP="00AF7284">
            <w:pPr>
              <w:pStyle w:val="Heading3"/>
              <w:outlineLvl w:val="2"/>
            </w:pPr>
            <w:r w:rsidRPr="009A776A">
              <w:t>Exempti</w:t>
            </w:r>
            <w:r>
              <w:t>ons to the Capital Asset</w:t>
            </w:r>
            <w:r w:rsidR="00091495">
              <w:t>s</w:t>
            </w:r>
            <w:r>
              <w:t xml:space="preserve"> Charge</w:t>
            </w:r>
          </w:p>
          <w:p w14:paraId="7817E1F6" w14:textId="77777777" w:rsidR="00600DE7" w:rsidRPr="002510FD" w:rsidRDefault="00600DE7" w:rsidP="00AF7284">
            <w:pPr>
              <w:pStyle w:val="Heading3numbered"/>
            </w:pPr>
            <w:bookmarkStart w:id="387" w:name="_Toc445459761"/>
            <w:bookmarkStart w:id="388" w:name="_Toc476658141"/>
            <w:r>
              <w:t>Administered assets</w:t>
            </w:r>
            <w:bookmarkEnd w:id="387"/>
            <w:bookmarkEnd w:id="388"/>
          </w:p>
          <w:p w14:paraId="47448524" w14:textId="77777777" w:rsidR="00600DE7" w:rsidRDefault="00600DE7" w:rsidP="00AF7284">
            <w:pPr>
              <w:pStyle w:val="NormalIndent"/>
            </w:pPr>
            <w:r>
              <w:t>A Department must not include administered assets in the calculation of the non-current physical assets base on which the CAC is charged, as these assets do not contribute to output delivery.</w:t>
            </w:r>
          </w:p>
          <w:p w14:paraId="2AB489C6" w14:textId="77777777" w:rsidR="00600DE7" w:rsidRPr="002510FD" w:rsidRDefault="00600DE7" w:rsidP="00AF7284">
            <w:pPr>
              <w:pStyle w:val="Heading3numbered"/>
            </w:pPr>
            <w:bookmarkStart w:id="389" w:name="_Toc445459762"/>
            <w:bookmarkStart w:id="390" w:name="_Toc476658142"/>
            <w:r>
              <w:t>Financial and intangible assets</w:t>
            </w:r>
            <w:bookmarkEnd w:id="389"/>
            <w:bookmarkEnd w:id="390"/>
          </w:p>
          <w:p w14:paraId="6B1646A5" w14:textId="4AFE9730" w:rsidR="00600DE7" w:rsidRDefault="00600DE7" w:rsidP="00AF7284">
            <w:pPr>
              <w:pStyle w:val="NormalIndent"/>
            </w:pPr>
            <w:r w:rsidRPr="00B91B56">
              <w:t>Financial assets</w:t>
            </w:r>
            <w:r>
              <w:t xml:space="preserve"> (which include cash, investments and deposits with the SAU inter</w:t>
            </w:r>
            <w:r w:rsidR="000C4837">
              <w:t>-</w:t>
            </w:r>
            <w:r>
              <w:t xml:space="preserve">entity account), and intangible assets, are </w:t>
            </w:r>
            <w:r w:rsidRPr="009A776A">
              <w:rPr>
                <w:i/>
              </w:rPr>
              <w:t>not</w:t>
            </w:r>
            <w:r>
              <w:t xml:space="preserve"> subject to CAC.</w:t>
            </w:r>
          </w:p>
          <w:p w14:paraId="50A1205A" w14:textId="77777777" w:rsidR="00600DE7" w:rsidRDefault="00600DE7" w:rsidP="00AF7284">
            <w:pPr>
              <w:pStyle w:val="Heading3numbered"/>
            </w:pPr>
            <w:bookmarkStart w:id="391" w:name="_Toc445459763"/>
            <w:bookmarkStart w:id="392" w:name="_Toc476658143"/>
            <w:r>
              <w:t>Exempt controlled physical assets</w:t>
            </w:r>
            <w:bookmarkEnd w:id="391"/>
            <w:bookmarkEnd w:id="392"/>
          </w:p>
          <w:p w14:paraId="5062F2A3" w14:textId="77777777" w:rsidR="00600DE7" w:rsidRDefault="00600DE7" w:rsidP="00AF7284">
            <w:pPr>
              <w:pStyle w:val="NormalIndent"/>
            </w:pPr>
            <w:r>
              <w:t xml:space="preserve">The following specified assets are currently exempt from the CAC: </w:t>
            </w:r>
          </w:p>
          <w:p w14:paraId="7F033E2A" w14:textId="5DD3620A" w:rsidR="00600DE7" w:rsidRDefault="00091495" w:rsidP="00D03A1C">
            <w:pPr>
              <w:pStyle w:val="Listnumindent"/>
              <w:numPr>
                <w:ilvl w:val="6"/>
                <w:numId w:val="72"/>
              </w:numPr>
            </w:pPr>
            <w:r>
              <w:t>t</w:t>
            </w:r>
            <w:r w:rsidR="00600DE7">
              <w:t>he declared road network controlled by VicRoads encompassing:</w:t>
            </w:r>
          </w:p>
          <w:p w14:paraId="3A74C120" w14:textId="77777777" w:rsidR="00600DE7" w:rsidRPr="00D8192F" w:rsidRDefault="00600DE7" w:rsidP="00AF7284">
            <w:pPr>
              <w:pStyle w:val="TableBulletindent"/>
            </w:pPr>
            <w:r w:rsidRPr="00D8192F">
              <w:t xml:space="preserve">pavement and earthworks; </w:t>
            </w:r>
          </w:p>
          <w:p w14:paraId="2C21C9CF" w14:textId="77777777" w:rsidR="00600DE7" w:rsidRPr="00D8192F" w:rsidRDefault="00600DE7" w:rsidP="00AF7284">
            <w:pPr>
              <w:pStyle w:val="TableBulletindent"/>
            </w:pPr>
            <w:r w:rsidRPr="00D8192F">
              <w:t xml:space="preserve">sound barriers; </w:t>
            </w:r>
          </w:p>
          <w:p w14:paraId="2747D43B" w14:textId="77777777" w:rsidR="00600DE7" w:rsidRPr="00D8192F" w:rsidRDefault="00600DE7" w:rsidP="00AF7284">
            <w:pPr>
              <w:pStyle w:val="TableBulletindent"/>
            </w:pPr>
            <w:r w:rsidRPr="00D8192F">
              <w:t xml:space="preserve">bridges; </w:t>
            </w:r>
          </w:p>
          <w:p w14:paraId="09A5A099" w14:textId="77777777" w:rsidR="00600DE7" w:rsidRPr="00D8192F" w:rsidRDefault="00600DE7" w:rsidP="00AF7284">
            <w:pPr>
              <w:pStyle w:val="TableBulletindent"/>
            </w:pPr>
            <w:r w:rsidRPr="00D8192F">
              <w:t xml:space="preserve">traffic signal control systems; and </w:t>
            </w:r>
          </w:p>
          <w:p w14:paraId="320EB3CC" w14:textId="77777777" w:rsidR="00600DE7" w:rsidRDefault="00600DE7" w:rsidP="00AF7284">
            <w:pPr>
              <w:pStyle w:val="TableBulletindent"/>
            </w:pPr>
            <w:r w:rsidRPr="00D8192F">
              <w:t>construction in progress</w:t>
            </w:r>
            <w:r>
              <w:t>.</w:t>
            </w:r>
          </w:p>
          <w:p w14:paraId="79146502" w14:textId="6CE24C54" w:rsidR="00600DE7" w:rsidRDefault="00091495" w:rsidP="00D03A1C">
            <w:pPr>
              <w:pStyle w:val="Listnumindent"/>
              <w:numPr>
                <w:ilvl w:val="6"/>
                <w:numId w:val="72"/>
              </w:numPr>
            </w:pPr>
            <w:r>
              <w:t>n</w:t>
            </w:r>
            <w:r w:rsidR="00600DE7">
              <w:t xml:space="preserve">ational </w:t>
            </w:r>
            <w:r>
              <w:t>p</w:t>
            </w:r>
            <w:r w:rsidR="00600DE7">
              <w:t>arks;</w:t>
            </w:r>
          </w:p>
          <w:p w14:paraId="1E73FE02" w14:textId="409720BC" w:rsidR="00600DE7" w:rsidRDefault="00091495" w:rsidP="00D03A1C">
            <w:pPr>
              <w:pStyle w:val="Listnumindent"/>
              <w:numPr>
                <w:ilvl w:val="6"/>
                <w:numId w:val="72"/>
              </w:numPr>
            </w:pPr>
            <w:r>
              <w:t>c</w:t>
            </w:r>
            <w:r w:rsidR="00600DE7">
              <w:t>ultural collections and structures; and</w:t>
            </w:r>
          </w:p>
          <w:p w14:paraId="62E44500" w14:textId="70AF3206" w:rsidR="00600DE7" w:rsidRPr="00307CAF" w:rsidRDefault="00091495" w:rsidP="00D03A1C">
            <w:pPr>
              <w:pStyle w:val="Listnumindent"/>
              <w:numPr>
                <w:ilvl w:val="6"/>
                <w:numId w:val="72"/>
              </w:numPr>
            </w:pPr>
            <w:r>
              <w:t>m</w:t>
            </w:r>
            <w:r w:rsidR="00600DE7">
              <w:t xml:space="preserve">otor </w:t>
            </w:r>
            <w:r w:rsidR="00C477AA">
              <w:t>v</w:t>
            </w:r>
            <w:r w:rsidR="00600DE7">
              <w:t>ehicle finance lease asset</w:t>
            </w:r>
            <w:r w:rsidR="00C477AA">
              <w:t xml:space="preserve">s </w:t>
            </w:r>
            <w:r w:rsidR="007A649B">
              <w:t>held</w:t>
            </w:r>
            <w:r w:rsidR="00C477AA">
              <w:t xml:space="preserve"> </w:t>
            </w:r>
            <w:r w:rsidR="007A649B">
              <w:t xml:space="preserve">under </w:t>
            </w:r>
            <w:r w:rsidR="00C477AA">
              <w:t xml:space="preserve">the </w:t>
            </w:r>
            <w:r w:rsidR="007A649B">
              <w:t xml:space="preserve">whole-of-government </w:t>
            </w:r>
            <w:r w:rsidR="00C477AA">
              <w:t>Standard Motor Vehicle Policy</w:t>
            </w:r>
            <w:r w:rsidR="00600DE7">
              <w:t>.</w:t>
            </w:r>
          </w:p>
        </w:tc>
      </w:tr>
    </w:tbl>
    <w:p w14:paraId="03497175" w14:textId="77777777" w:rsidR="00600DE7" w:rsidRDefault="00600DE7" w:rsidP="00600DE7">
      <w:pPr>
        <w:pStyle w:val="Spacer"/>
      </w:pPr>
    </w:p>
    <w:p w14:paraId="3392375F" w14:textId="77777777" w:rsidR="00600DE7" w:rsidRPr="00862803" w:rsidRDefault="00600DE7" w:rsidP="00056F4E">
      <w:pPr>
        <w:pStyle w:val="Heading2indent"/>
      </w:pPr>
      <w:r w:rsidRPr="00862803">
        <w:lastRenderedPageBreak/>
        <w:t>Guidance</w:t>
      </w:r>
    </w:p>
    <w:p w14:paraId="0B631541" w14:textId="7E2C77A4" w:rsidR="00600DE7" w:rsidRDefault="00600DE7" w:rsidP="000B672C">
      <w:pPr>
        <w:pStyle w:val="Heading3indent"/>
      </w:pPr>
      <w:r>
        <w:t>What is the Capital Assets Charge?</w:t>
      </w:r>
    </w:p>
    <w:p w14:paraId="08529927" w14:textId="4C4FAD1C" w:rsidR="00600DE7" w:rsidRDefault="00600DE7" w:rsidP="000763CB">
      <w:pPr>
        <w:pStyle w:val="NormalIndent"/>
      </w:pPr>
      <w:r>
        <w:t xml:space="preserve">The </w:t>
      </w:r>
      <w:r w:rsidR="00091495">
        <w:t>Capital Assets Charge (</w:t>
      </w:r>
      <w:r>
        <w:t>CAC</w:t>
      </w:r>
      <w:r w:rsidR="00091495">
        <w:t>)</w:t>
      </w:r>
      <w:r>
        <w:t xml:space="preserve"> is a charge</w:t>
      </w:r>
      <w:r w:rsidR="000763CB">
        <w:t xml:space="preserve"> (operating expense)</w:t>
      </w:r>
      <w:r>
        <w:t xml:space="preserve"> levied on the written down value of controlled non-current physical assets </w:t>
      </w:r>
      <w:r w:rsidR="00A23D10">
        <w:t>of</w:t>
      </w:r>
      <w:r>
        <w:t xml:space="preserve"> a Department </w:t>
      </w:r>
      <w:r w:rsidR="000763CB">
        <w:t>(</w:t>
      </w:r>
      <w:r w:rsidR="00A23D10">
        <w:t xml:space="preserve">i.e. </w:t>
      </w:r>
      <w:r w:rsidR="000763CB">
        <w:t>the Department and its general government sector portfolio agencies</w:t>
      </w:r>
      <w:r w:rsidR="00A23D10">
        <w:t xml:space="preserve"> detailed in its balance sheet</w:t>
      </w:r>
      <w:r w:rsidR="000763CB">
        <w:t>). The charge</w:t>
      </w:r>
      <w:r>
        <w:t xml:space="preserve"> aims to</w:t>
      </w:r>
      <w:r w:rsidR="008F68C5">
        <w:t xml:space="preserve"> </w:t>
      </w:r>
      <w:r w:rsidR="00324A80">
        <w:t>facilitate the full costing of outputs by attributing to agency outputs the opportunity cost of capital used in service delivery.</w:t>
      </w:r>
    </w:p>
    <w:p w14:paraId="2FCFAFB5" w14:textId="27B0F127" w:rsidR="003C6527" w:rsidRDefault="003C6527" w:rsidP="000763CB">
      <w:pPr>
        <w:pStyle w:val="NormalIndent"/>
      </w:pPr>
      <w:r>
        <w:t xml:space="preserve">Departments are appropriated the amount of CAC appropriation funding equal to </w:t>
      </w:r>
      <w:r w:rsidR="00A23D10">
        <w:t>eight</w:t>
      </w:r>
      <w:r>
        <w:t xml:space="preserve"> per cent of the</w:t>
      </w:r>
      <w:r w:rsidRPr="003C6527">
        <w:t xml:space="preserve"> budgeted written down value of controlled non-current physical assets of the Department and its portfolio (general government sector) agencies</w:t>
      </w:r>
      <w:r>
        <w:t>, to fund the CAC expense.</w:t>
      </w:r>
    </w:p>
    <w:p w14:paraId="600D57BD" w14:textId="62A865D2" w:rsidR="000763CB" w:rsidRDefault="000763CB" w:rsidP="000763CB">
      <w:pPr>
        <w:pStyle w:val="NormalIndent"/>
      </w:pPr>
      <w:r>
        <w:t>The CAC policy is subject to periodic review by DTF.</w:t>
      </w:r>
    </w:p>
    <w:p w14:paraId="75A4FABD" w14:textId="50BC5AE9" w:rsidR="00600DE7" w:rsidRPr="009A776A" w:rsidRDefault="00E37B75" w:rsidP="000B672C">
      <w:pPr>
        <w:pStyle w:val="Heading3indent"/>
      </w:pPr>
      <w:r>
        <w:t xml:space="preserve">Capital Assets Charge </w:t>
      </w:r>
      <w:r w:rsidR="00600DE7" w:rsidRPr="009A776A">
        <w:t xml:space="preserve">cost allocation across outputs </w:t>
      </w:r>
    </w:p>
    <w:p w14:paraId="55341E58" w14:textId="64F86B05" w:rsidR="00600DE7" w:rsidRDefault="00600DE7" w:rsidP="00600DE7">
      <w:pPr>
        <w:pStyle w:val="NormalIndent"/>
      </w:pPr>
      <w:r>
        <w:t>CAC is paid by a Department as a whole, and each Department</w:t>
      </w:r>
      <w:r w:rsidR="00A82D32">
        <w:t xml:space="preserve"> is</w:t>
      </w:r>
      <w:r>
        <w:t xml:space="preserve"> responsib</w:t>
      </w:r>
      <w:r w:rsidR="00A82D32">
        <w:t>le</w:t>
      </w:r>
      <w:r>
        <w:t xml:space="preserve"> </w:t>
      </w:r>
      <w:r w:rsidR="00A82D32">
        <w:t xml:space="preserve">for </w:t>
      </w:r>
      <w:r>
        <w:t>allocat</w:t>
      </w:r>
      <w:r w:rsidR="00A82D32">
        <w:t>ing</w:t>
      </w:r>
      <w:r>
        <w:t xml:space="preserve"> CAC expenses across </w:t>
      </w:r>
      <w:r w:rsidR="00A82D32">
        <w:t>its</w:t>
      </w:r>
      <w:r>
        <w:t xml:space="preserve"> outputs and to </w:t>
      </w:r>
      <w:r w:rsidR="00A82D32">
        <w:t>its</w:t>
      </w:r>
      <w:r>
        <w:t xml:space="preserve"> internal divisions </w:t>
      </w:r>
      <w:r w:rsidR="00BE364E">
        <w:t xml:space="preserve">and portfolio (general government sector) </w:t>
      </w:r>
      <w:r>
        <w:t>agencies.</w:t>
      </w:r>
    </w:p>
    <w:p w14:paraId="4B7CEF35" w14:textId="77777777" w:rsidR="00600DE7" w:rsidRDefault="00A82D32" w:rsidP="00600DE7">
      <w:pPr>
        <w:pStyle w:val="NormalIndent"/>
      </w:pPr>
      <w:r>
        <w:t>T</w:t>
      </w:r>
      <w:r w:rsidR="00600DE7">
        <w:t>o ensure prices are not distorted, the proportion of total Departmental CAC that should be included in the cost of each output should reflect as closely as is practical the proportion of Departmental non-curren</w:t>
      </w:r>
      <w:r>
        <w:t>t physical assets that are u</w:t>
      </w:r>
      <w:r w:rsidR="00600DE7">
        <w:t>sed in the production of the output.</w:t>
      </w:r>
    </w:p>
    <w:p w14:paraId="0F81CAC0" w14:textId="35E4ED05" w:rsidR="003C6527" w:rsidRDefault="00526190" w:rsidP="000B672C">
      <w:pPr>
        <w:pStyle w:val="Heading3indent"/>
      </w:pPr>
      <w:r>
        <w:t xml:space="preserve">Potential variations to the </w:t>
      </w:r>
      <w:r w:rsidR="00E37B75">
        <w:t>Capital Assets Charge</w:t>
      </w:r>
    </w:p>
    <w:p w14:paraId="781E994E" w14:textId="26B481BD" w:rsidR="00526190" w:rsidRPr="00581FF7" w:rsidRDefault="00526190" w:rsidP="00D03A1C">
      <w:pPr>
        <w:pStyle w:val="NormalIndent"/>
      </w:pPr>
      <w:r>
        <w:t xml:space="preserve">There may be circumstances where the CAC amount to be charged on a monthly basis by a Department is different to what is required </w:t>
      </w:r>
      <w:r w:rsidR="00E37B75">
        <w:t xml:space="preserve">as </w:t>
      </w:r>
      <w:r>
        <w:t xml:space="preserve">per Mandatory </w:t>
      </w:r>
      <w:r w:rsidR="00E37B75">
        <w:t>r</w:t>
      </w:r>
      <w:r>
        <w:t xml:space="preserve">equirement 3.2.2. Situations where this may occur could include </w:t>
      </w:r>
      <w:r w:rsidR="00E37B75">
        <w:t>m</w:t>
      </w:r>
      <w:r>
        <w:t xml:space="preserve">achinery of </w:t>
      </w:r>
      <w:r w:rsidR="00E37B75">
        <w:t>g</w:t>
      </w:r>
      <w:r>
        <w:t xml:space="preserve">overnment changes. Departments must discuss such situations with DTF to determine whether adjustments to the CAC </w:t>
      </w:r>
      <w:r w:rsidR="00F03E57">
        <w:t xml:space="preserve">amount </w:t>
      </w:r>
      <w:r>
        <w:t>are necessary.</w:t>
      </w:r>
    </w:p>
    <w:p w14:paraId="12F1AAE9" w14:textId="77777777" w:rsidR="00600DE7" w:rsidRDefault="00600DE7" w:rsidP="000B672C">
      <w:pPr>
        <w:pStyle w:val="Heading3indent"/>
      </w:pPr>
      <w:r>
        <w:t>Impact of revaluations and variations in asset base</w:t>
      </w:r>
    </w:p>
    <w:p w14:paraId="5C365A46" w14:textId="6B307CFF" w:rsidR="00600DE7" w:rsidRDefault="00600DE7" w:rsidP="00600DE7">
      <w:pPr>
        <w:pStyle w:val="NormalIndent"/>
      </w:pPr>
      <w:r>
        <w:t xml:space="preserve">Departments should manage their asset base effectively, and carry out timely asset revaluations in accordance with accounting standards. Such revaluations may affect the amount of CAC payable by </w:t>
      </w:r>
      <w:r w:rsidR="00526190">
        <w:t>a</w:t>
      </w:r>
      <w:r>
        <w:t xml:space="preserve"> Department</w:t>
      </w:r>
      <w:r w:rsidR="00526190">
        <w:t xml:space="preserve"> in future periods.</w:t>
      </w:r>
    </w:p>
    <w:p w14:paraId="1A29A4BF" w14:textId="77777777" w:rsidR="00600DE7" w:rsidRDefault="00600DE7" w:rsidP="000B672C">
      <w:pPr>
        <w:pStyle w:val="Heading3indent"/>
      </w:pPr>
      <w:r>
        <w:t>Construction-in-Progress</w:t>
      </w:r>
    </w:p>
    <w:p w14:paraId="4AA1E464" w14:textId="1F0DFB62" w:rsidR="00600DE7" w:rsidRDefault="00600DE7" w:rsidP="00600DE7">
      <w:pPr>
        <w:pStyle w:val="NormalIndent"/>
      </w:pPr>
      <w:r>
        <w:t>The CAC shall apply, unless otherwise exempt, to Construction-in-Progress (CIP), in the years following the commencement of the construction</w:t>
      </w:r>
      <w:r w:rsidR="00E37B75">
        <w:t>:</w:t>
      </w:r>
    </w:p>
    <w:p w14:paraId="4F335300" w14:textId="71E13B9B" w:rsidR="00600DE7" w:rsidRDefault="00600DE7" w:rsidP="00600DE7">
      <w:pPr>
        <w:pStyle w:val="Bulletindent"/>
      </w:pPr>
      <w:r>
        <w:t>Year 1 of construction – no CAC applies;</w:t>
      </w:r>
      <w:r w:rsidR="00E37B75">
        <w:t xml:space="preserve"> and</w:t>
      </w:r>
    </w:p>
    <w:p w14:paraId="7F040F39" w14:textId="77777777" w:rsidR="00600DE7" w:rsidRDefault="00600DE7" w:rsidP="00600DE7">
      <w:pPr>
        <w:pStyle w:val="Bulletindent"/>
      </w:pPr>
      <w:r>
        <w:t>Year 2 onwards – recognise prior year’s construction amounts for the purposes of applying CAC.</w:t>
      </w:r>
    </w:p>
    <w:p w14:paraId="66851893" w14:textId="77777777" w:rsidR="00600DE7" w:rsidRDefault="00600DE7" w:rsidP="00600DE7">
      <w:pPr>
        <w:spacing w:before="0" w:after="200"/>
        <w:rPr>
          <w:color w:val="4D4D4D"/>
          <w:sz w:val="30"/>
          <w:lang w:eastAsia="en-US"/>
        </w:rPr>
      </w:pPr>
      <w:bookmarkStart w:id="393" w:name="_Toc422734268"/>
      <w:bookmarkStart w:id="394" w:name="_Toc422750108"/>
      <w:bookmarkStart w:id="395" w:name="_Toc422750202"/>
      <w:bookmarkStart w:id="396" w:name="_Toc422753145"/>
      <w:bookmarkStart w:id="397" w:name="_Toc423509709"/>
      <w:bookmarkStart w:id="398" w:name="_Toc423509914"/>
      <w:bookmarkStart w:id="399" w:name="_Toc423510014"/>
      <w:bookmarkStart w:id="400" w:name="_Toc423510112"/>
      <w:bookmarkStart w:id="401" w:name="_Toc423510208"/>
      <w:bookmarkStart w:id="402" w:name="_Toc423510304"/>
      <w:bookmarkStart w:id="403" w:name="_Toc423510400"/>
      <w:bookmarkStart w:id="404" w:name="_Toc423510495"/>
      <w:bookmarkStart w:id="405" w:name="_Toc423510590"/>
      <w:bookmarkStart w:id="406" w:name="_Toc423510685"/>
      <w:bookmarkStart w:id="407" w:name="_Toc419906812"/>
      <w:bookmarkStart w:id="408" w:name="_Toc421026715"/>
      <w:bookmarkStart w:id="409" w:name="_Toc422321108"/>
      <w:bookmarkStart w:id="410" w:name="_Toc422321823"/>
      <w:bookmarkStart w:id="411" w:name="_Toc422321916"/>
      <w:bookmarkStart w:id="412" w:name="_Toc422734272"/>
      <w:bookmarkStart w:id="413" w:name="_Toc422750112"/>
      <w:bookmarkStart w:id="414" w:name="_Toc422750206"/>
      <w:bookmarkStart w:id="415" w:name="_Toc422753149"/>
      <w:bookmarkStart w:id="416" w:name="_Toc423509713"/>
      <w:bookmarkStart w:id="417" w:name="_Toc423509918"/>
      <w:bookmarkStart w:id="418" w:name="_Toc423510018"/>
      <w:bookmarkStart w:id="419" w:name="_Toc423510116"/>
      <w:bookmarkStart w:id="420" w:name="_Toc423510212"/>
      <w:bookmarkStart w:id="421" w:name="_Toc423510308"/>
      <w:bookmarkStart w:id="422" w:name="_Toc423510404"/>
      <w:bookmarkStart w:id="423" w:name="_Toc423510499"/>
      <w:bookmarkStart w:id="424" w:name="_Toc423510594"/>
      <w:bookmarkStart w:id="425" w:name="_Toc423510689"/>
      <w:bookmarkStart w:id="426" w:name="_Toc419906813"/>
      <w:bookmarkStart w:id="427" w:name="_Toc421026716"/>
      <w:bookmarkStart w:id="428" w:name="_Toc422321109"/>
      <w:bookmarkStart w:id="429" w:name="_Toc422321824"/>
      <w:bookmarkStart w:id="430" w:name="_Toc422321917"/>
      <w:bookmarkStart w:id="431" w:name="_Toc422734273"/>
      <w:bookmarkStart w:id="432" w:name="_Toc422750113"/>
      <w:bookmarkStart w:id="433" w:name="_Toc422750207"/>
      <w:bookmarkStart w:id="434" w:name="_Toc422753150"/>
      <w:bookmarkStart w:id="435" w:name="_Toc423509714"/>
      <w:bookmarkStart w:id="436" w:name="_Toc423509919"/>
      <w:bookmarkStart w:id="437" w:name="_Toc423510019"/>
      <w:bookmarkStart w:id="438" w:name="_Toc423510117"/>
      <w:bookmarkStart w:id="439" w:name="_Toc423510213"/>
      <w:bookmarkStart w:id="440" w:name="_Toc423510309"/>
      <w:bookmarkStart w:id="441" w:name="_Toc423510405"/>
      <w:bookmarkStart w:id="442" w:name="_Toc423510500"/>
      <w:bookmarkStart w:id="443" w:name="_Toc423510595"/>
      <w:bookmarkStart w:id="444" w:name="_Toc423510690"/>
      <w:bookmarkStart w:id="445" w:name="_Toc419906814"/>
      <w:bookmarkStart w:id="446" w:name="_Toc421026717"/>
      <w:bookmarkStart w:id="447" w:name="_Toc422321110"/>
      <w:bookmarkStart w:id="448" w:name="_Toc422321825"/>
      <w:bookmarkStart w:id="449" w:name="_Toc422321918"/>
      <w:bookmarkStart w:id="450" w:name="_Toc422734274"/>
      <w:bookmarkStart w:id="451" w:name="_Toc422750114"/>
      <w:bookmarkStart w:id="452" w:name="_Toc422750208"/>
      <w:bookmarkStart w:id="453" w:name="_Toc422753151"/>
      <w:bookmarkStart w:id="454" w:name="_Toc423509715"/>
      <w:bookmarkStart w:id="455" w:name="_Toc423509920"/>
      <w:bookmarkStart w:id="456" w:name="_Toc423510020"/>
      <w:bookmarkStart w:id="457" w:name="_Toc423510118"/>
      <w:bookmarkStart w:id="458" w:name="_Toc423510214"/>
      <w:bookmarkStart w:id="459" w:name="_Toc423510310"/>
      <w:bookmarkStart w:id="460" w:name="_Toc423510406"/>
      <w:bookmarkStart w:id="461" w:name="_Toc423510501"/>
      <w:bookmarkStart w:id="462" w:name="_Toc423510596"/>
      <w:bookmarkStart w:id="463" w:name="_Toc423510691"/>
      <w:bookmarkStart w:id="464" w:name="_Toc369595449"/>
      <w:bookmarkStart w:id="465" w:name="_Toc369595450"/>
      <w:bookmarkStart w:id="466" w:name="_Toc348089673"/>
      <w:bookmarkStart w:id="467" w:name="_Toc348089903"/>
      <w:bookmarkStart w:id="468" w:name="_Toc348351551"/>
      <w:bookmarkStart w:id="469" w:name="_Toc348608046"/>
      <w:bookmarkStart w:id="470" w:name="_Toc348614209"/>
      <w:bookmarkStart w:id="471" w:name="_Toc364255974"/>
      <w:bookmarkStart w:id="472" w:name="_Toc364257010"/>
      <w:bookmarkStart w:id="473" w:name="_Toc364259274"/>
      <w:bookmarkStart w:id="474" w:name="_Toc364259846"/>
      <w:bookmarkStart w:id="475" w:name="_Toc364261262"/>
      <w:bookmarkStart w:id="476" w:name="_Toc364416013"/>
      <w:bookmarkStart w:id="477" w:name="_Toc364424700"/>
      <w:bookmarkStart w:id="478" w:name="_Toc364428029"/>
      <w:bookmarkStart w:id="479" w:name="_Toc364673359"/>
      <w:bookmarkStart w:id="480" w:name="_Toc364754640"/>
      <w:bookmarkStart w:id="481" w:name="_Toc364757379"/>
      <w:bookmarkStart w:id="482" w:name="_Toc364757451"/>
      <w:bookmarkStart w:id="483" w:name="_Toc364771458"/>
      <w:bookmarkStart w:id="484" w:name="_Toc364771626"/>
      <w:bookmarkStart w:id="485" w:name="_Toc364771711"/>
      <w:bookmarkStart w:id="486" w:name="_Toc364774596"/>
      <w:bookmarkStart w:id="487" w:name="_Toc364775152"/>
      <w:bookmarkStart w:id="488" w:name="_Toc364839827"/>
      <w:bookmarkStart w:id="489" w:name="_Toc364844190"/>
      <w:bookmarkStart w:id="490" w:name="_Toc364844397"/>
      <w:bookmarkStart w:id="491" w:name="_Toc364845149"/>
      <w:bookmarkStart w:id="492" w:name="_Toc364865905"/>
      <w:bookmarkStart w:id="493" w:name="_Toc364865977"/>
      <w:bookmarkStart w:id="494" w:name="_Toc364866049"/>
      <w:bookmarkStart w:id="495" w:name="_Toc364866130"/>
      <w:bookmarkStart w:id="496" w:name="_Toc367867715"/>
      <w:bookmarkStart w:id="497" w:name="_Toc334791632"/>
      <w:bookmarkStart w:id="498" w:name="_Toc385489687"/>
      <w:bookmarkStart w:id="499" w:name="_Toc423510718"/>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br w:type="page"/>
      </w:r>
    </w:p>
    <w:p w14:paraId="1DF78752" w14:textId="77777777" w:rsidR="00A6340E" w:rsidRDefault="00A6340E" w:rsidP="0029606D">
      <w:pPr>
        <w:pStyle w:val="Heading1numbered"/>
        <w:spacing w:before="520"/>
        <w:ind w:left="792" w:hanging="792"/>
      </w:pPr>
      <w:bookmarkStart w:id="500" w:name="_Toc463337399"/>
      <w:bookmarkStart w:id="501" w:name="_Toc476658144"/>
      <w:bookmarkEnd w:id="497"/>
      <w:bookmarkEnd w:id="498"/>
      <w:bookmarkEnd w:id="499"/>
      <w:r>
        <w:lastRenderedPageBreak/>
        <w:t>Other budget policies</w:t>
      </w:r>
      <w:bookmarkEnd w:id="500"/>
      <w:bookmarkEnd w:id="501"/>
    </w:p>
    <w:p w14:paraId="3C0F086A" w14:textId="77777777" w:rsidR="00A6340E" w:rsidRDefault="00A6340E" w:rsidP="0029606D">
      <w:pPr>
        <w:pStyle w:val="Heading2numbered"/>
        <w:spacing w:before="240"/>
      </w:pPr>
      <w:bookmarkStart w:id="502" w:name="_Toc463337400"/>
      <w:bookmarkStart w:id="503" w:name="_Toc476658145"/>
      <w:r w:rsidRPr="00D24EF5">
        <w:t>Hypothecation arrangements</w:t>
      </w:r>
      <w:bookmarkEnd w:id="502"/>
      <w:bookmarkEnd w:id="503"/>
    </w:p>
    <w:tbl>
      <w:tblPr>
        <w:tblStyle w:val="Mandatory"/>
        <w:tblW w:w="7483" w:type="dxa"/>
        <w:tblLook w:val="0620" w:firstRow="1" w:lastRow="0" w:firstColumn="0" w:lastColumn="0" w:noHBand="1" w:noVBand="1"/>
      </w:tblPr>
      <w:tblGrid>
        <w:gridCol w:w="7483"/>
      </w:tblGrid>
      <w:tr w:rsidR="00A6340E" w:rsidRPr="00FD2F4C" w14:paraId="7205120B" w14:textId="77777777" w:rsidTr="0020228A">
        <w:trPr>
          <w:cnfStyle w:val="100000000000" w:firstRow="1" w:lastRow="0" w:firstColumn="0" w:lastColumn="0" w:oddVBand="0" w:evenVBand="0" w:oddHBand="0" w:evenHBand="0" w:firstRowFirstColumn="0" w:firstRowLastColumn="0" w:lastRowFirstColumn="0" w:lastRowLastColumn="0"/>
          <w:trHeight w:val="720"/>
        </w:trPr>
        <w:tc>
          <w:tcPr>
            <w:tcW w:w="7483" w:type="dxa"/>
          </w:tcPr>
          <w:p w14:paraId="27C2AA1E" w14:textId="77777777" w:rsidR="00A6340E" w:rsidRPr="00FD2F4C" w:rsidRDefault="00A6340E" w:rsidP="0020228A">
            <w:r>
              <w:t>Mandatory requirements</w:t>
            </w:r>
            <w:r>
              <w:br/>
              <w:t>HYPOTHECATION ARRANGEMENTS</w:t>
            </w:r>
          </w:p>
        </w:tc>
      </w:tr>
      <w:tr w:rsidR="00A6340E" w:rsidRPr="00307CAF" w14:paraId="745D11C5" w14:textId="77777777" w:rsidTr="0020228A">
        <w:trPr>
          <w:trHeight w:val="589"/>
        </w:trPr>
        <w:tc>
          <w:tcPr>
            <w:tcW w:w="7483" w:type="dxa"/>
          </w:tcPr>
          <w:p w14:paraId="47922555" w14:textId="77777777" w:rsidR="00A6340E" w:rsidRDefault="00A6340E" w:rsidP="00D03A1C">
            <w:pPr>
              <w:pStyle w:val="Heading3numbered"/>
              <w:numPr>
                <w:ilvl w:val="4"/>
                <w:numId w:val="84"/>
              </w:numPr>
            </w:pPr>
            <w:bookmarkStart w:id="504" w:name="_Toc463337401"/>
            <w:bookmarkStart w:id="505" w:name="_Toc476658146"/>
            <w:r>
              <w:t>Instructions on hypothecation arrangements</w:t>
            </w:r>
            <w:bookmarkEnd w:id="504"/>
            <w:bookmarkEnd w:id="505"/>
          </w:p>
          <w:p w14:paraId="4CAF18F3" w14:textId="77777777" w:rsidR="00A6340E" w:rsidRPr="00307CAF" w:rsidRDefault="00A6340E" w:rsidP="0020228A">
            <w:pPr>
              <w:pStyle w:val="NormalIndent"/>
            </w:pPr>
            <w:r w:rsidRPr="005F5125">
              <w:t>Departments must discuss with DTF any proposal it considers could potentially be funded through a hypothecation arrangement, and</w:t>
            </w:r>
            <w:r>
              <w:t xml:space="preserve"> must demonstrate how the proposal</w:t>
            </w:r>
            <w:r w:rsidRPr="005F5125">
              <w:t xml:space="preserve"> meet</w:t>
            </w:r>
            <w:r>
              <w:t>s</w:t>
            </w:r>
            <w:r w:rsidRPr="005F5125">
              <w:t xml:space="preserve"> the five criteria set out in this </w:t>
            </w:r>
            <w:r>
              <w:t>section</w:t>
            </w:r>
            <w:r w:rsidRPr="005F5125">
              <w:t>.</w:t>
            </w:r>
          </w:p>
        </w:tc>
      </w:tr>
    </w:tbl>
    <w:p w14:paraId="317F9732" w14:textId="77777777" w:rsidR="00A6340E" w:rsidRPr="00862803" w:rsidRDefault="00A6340E" w:rsidP="0029606D">
      <w:pPr>
        <w:pStyle w:val="Heading2indent"/>
        <w:spacing w:after="160"/>
      </w:pPr>
      <w:r w:rsidRPr="00862803">
        <w:t>Guidance</w:t>
      </w:r>
    </w:p>
    <w:p w14:paraId="06D830E9" w14:textId="77777777" w:rsidR="00A6340E" w:rsidRPr="005F5125" w:rsidRDefault="00A6340E" w:rsidP="0029606D">
      <w:pPr>
        <w:pStyle w:val="Heading3indent"/>
        <w:spacing w:before="160"/>
      </w:pPr>
      <w:r w:rsidRPr="005F5125">
        <w:t>Definition</w:t>
      </w:r>
    </w:p>
    <w:p w14:paraId="2ED902A8" w14:textId="774EF650" w:rsidR="00A6340E" w:rsidRPr="005F5125" w:rsidRDefault="00A6340E" w:rsidP="00A6340E">
      <w:pPr>
        <w:spacing w:line="252" w:lineRule="auto"/>
        <w:ind w:left="792"/>
      </w:pPr>
      <w:r w:rsidRPr="005F5125">
        <w:t>Hypothecation is the linking of specific expenditure requirements with particular revenue sources, either through legislation (hard hypothecation)</w:t>
      </w:r>
      <w:r w:rsidR="00025FA7">
        <w:t>,</w:t>
      </w:r>
      <w:r w:rsidRPr="005F5125">
        <w:t xml:space="preserve"> or through </w:t>
      </w:r>
      <w:r w:rsidR="00E37B75">
        <w:t>g</w:t>
      </w:r>
      <w:r w:rsidRPr="005F5125">
        <w:t xml:space="preserve">overnment policy alone (soft hypothecation). </w:t>
      </w:r>
      <w:r w:rsidR="00835AF2">
        <w:t xml:space="preserve">There may be some instances where such an arrangement is desired in directing certain revenue streams </w:t>
      </w:r>
      <w:r w:rsidRPr="005F5125">
        <w:t>towards a particular program or initiative</w:t>
      </w:r>
      <w:r w:rsidR="001D5A81">
        <w:t xml:space="preserve">, such as the hypothecation of </w:t>
      </w:r>
      <w:r w:rsidR="003024D5">
        <w:t xml:space="preserve">revenue from roads safety initiatives </w:t>
      </w:r>
      <w:r w:rsidR="001D5A81">
        <w:t xml:space="preserve">towards </w:t>
      </w:r>
      <w:r w:rsidR="003024D5">
        <w:t xml:space="preserve">the </w:t>
      </w:r>
      <w:r w:rsidR="001D5A81">
        <w:t xml:space="preserve">funding </w:t>
      </w:r>
      <w:r w:rsidR="003024D5">
        <w:t xml:space="preserve">of </w:t>
      </w:r>
      <w:r w:rsidR="001D5A81">
        <w:t>roads infrastructure (through the Better Roads Victoria Trust Account)</w:t>
      </w:r>
      <w:r w:rsidRPr="005F5125">
        <w:t>.</w:t>
      </w:r>
    </w:p>
    <w:p w14:paraId="5647C0B8" w14:textId="77777777" w:rsidR="00A6340E" w:rsidRPr="005F5125" w:rsidRDefault="00A6340E" w:rsidP="000B672C">
      <w:pPr>
        <w:pStyle w:val="Heading3indent"/>
      </w:pPr>
      <w:r>
        <w:t>Comment on</w:t>
      </w:r>
      <w:r w:rsidRPr="005F5125">
        <w:t xml:space="preserve"> hypothecation arrangements</w:t>
      </w:r>
    </w:p>
    <w:p w14:paraId="19B93CF2" w14:textId="169D0B42" w:rsidR="00A6340E" w:rsidRDefault="00A6340E" w:rsidP="00A6340E">
      <w:pPr>
        <w:spacing w:line="252" w:lineRule="auto"/>
        <w:ind w:left="792"/>
      </w:pPr>
      <w:r w:rsidRPr="005F5125">
        <w:t xml:space="preserve">As a general rule, unless otherwise determined by </w:t>
      </w:r>
      <w:r w:rsidR="00E37B75">
        <w:t xml:space="preserve">the </w:t>
      </w:r>
      <w:r w:rsidRPr="005F5125">
        <w:t xml:space="preserve">Government, expenditure </w:t>
      </w:r>
      <w:r w:rsidR="00631FB7">
        <w:t xml:space="preserve">is </w:t>
      </w:r>
      <w:r w:rsidR="00B52418">
        <w:t xml:space="preserve">not </w:t>
      </w:r>
      <w:r w:rsidRPr="005F5125">
        <w:t>tied to specific revenue sources</w:t>
      </w:r>
      <w:r>
        <w:t>, in order</w:t>
      </w:r>
      <w:r w:rsidRPr="005F5125">
        <w:t xml:space="preserve"> to provide </w:t>
      </w:r>
      <w:r w:rsidR="00E37B75">
        <w:t xml:space="preserve">the </w:t>
      </w:r>
      <w:r w:rsidRPr="005F5125">
        <w:t xml:space="preserve">Government with maximum flexibility in the way it chooses to allocate resources to meet its objectives. </w:t>
      </w:r>
      <w:r w:rsidR="00631FB7">
        <w:t>Also, d</w:t>
      </w:r>
      <w:r w:rsidRPr="005F5125">
        <w:t xml:space="preserve">epending on their design, hypothecation arrangements may also lead to less scrutiny being placed on projects, services or programs, and </w:t>
      </w:r>
      <w:r w:rsidR="00025FA7">
        <w:t xml:space="preserve">may </w:t>
      </w:r>
      <w:r w:rsidRPr="005F5125">
        <w:t xml:space="preserve">lead to an inefficient and ineffective allocation of resources if </w:t>
      </w:r>
      <w:r>
        <w:t>G</w:t>
      </w:r>
      <w:r w:rsidRPr="005F5125">
        <w:t xml:space="preserve">overnment priorities change over time. </w:t>
      </w:r>
    </w:p>
    <w:p w14:paraId="2FDBC99D" w14:textId="301BE552" w:rsidR="00B52418" w:rsidRDefault="00B52418" w:rsidP="00B52418">
      <w:pPr>
        <w:spacing w:line="252" w:lineRule="auto"/>
        <w:ind w:left="792"/>
      </w:pPr>
      <w:r w:rsidRPr="005F5125">
        <w:t xml:space="preserve">If a hypothecation arrangement is to be considered, departments </w:t>
      </w:r>
      <w:r>
        <w:t>should</w:t>
      </w:r>
      <w:r w:rsidRPr="005F5125">
        <w:t xml:space="preserve"> consider a soft hypothecation arrangement. These arrangements are more flexible, can be amended through </w:t>
      </w:r>
      <w:r>
        <w:t>G</w:t>
      </w:r>
      <w:r w:rsidRPr="005F5125">
        <w:t>overnment policy, and are typically broader in their application.</w:t>
      </w:r>
      <w:r>
        <w:t xml:space="preserve"> The </w:t>
      </w:r>
      <w:r w:rsidR="00121529">
        <w:t>revenue for such</w:t>
      </w:r>
      <w:r>
        <w:t xml:space="preserve"> hypothecation arrangements should flow through to </w:t>
      </w:r>
      <w:r w:rsidR="00E37B75">
        <w:t xml:space="preserve">the </w:t>
      </w:r>
      <w:r>
        <w:t>Consolidated Fund, and not to trust funds or other accounts.</w:t>
      </w:r>
    </w:p>
    <w:p w14:paraId="7263CB2E" w14:textId="77777777" w:rsidR="00A6340E" w:rsidRPr="005F5125" w:rsidRDefault="00A6340E" w:rsidP="000B672C">
      <w:pPr>
        <w:pStyle w:val="Heading3indent"/>
      </w:pPr>
      <w:r w:rsidRPr="005F5125">
        <w:t>Criteria to consider before consulting with DTF</w:t>
      </w:r>
    </w:p>
    <w:p w14:paraId="55A0CF04" w14:textId="0829FF9B" w:rsidR="00A6340E" w:rsidRPr="005F5125" w:rsidRDefault="00F67938" w:rsidP="00A6340E">
      <w:pPr>
        <w:spacing w:line="252" w:lineRule="auto"/>
        <w:ind w:left="792"/>
      </w:pPr>
      <w:r>
        <w:t>T</w:t>
      </w:r>
      <w:r w:rsidR="00A6340E" w:rsidRPr="005F5125">
        <w:t xml:space="preserve">he following </w:t>
      </w:r>
      <w:r w:rsidR="00A6340E">
        <w:t xml:space="preserve">five </w:t>
      </w:r>
      <w:r w:rsidR="00A6340E" w:rsidRPr="005F5125">
        <w:t xml:space="preserve">criteria </w:t>
      </w:r>
      <w:r>
        <w:t xml:space="preserve">must be considered in determining whether </w:t>
      </w:r>
      <w:r w:rsidR="007919CC">
        <w:t xml:space="preserve">or not </w:t>
      </w:r>
      <w:r>
        <w:t xml:space="preserve">a </w:t>
      </w:r>
      <w:r w:rsidR="00025FA7">
        <w:t xml:space="preserve">proposed </w:t>
      </w:r>
      <w:r>
        <w:t>hypothecation arrangement is suitable:</w:t>
      </w:r>
    </w:p>
    <w:p w14:paraId="1532C1B8" w14:textId="77777777" w:rsidR="00A6340E" w:rsidRPr="005F5125" w:rsidRDefault="00A6340E" w:rsidP="00B47296">
      <w:pPr>
        <w:pStyle w:val="Heading4indent"/>
      </w:pPr>
      <w:r w:rsidRPr="005F5125">
        <w:t>Criteria 1 – Clear superiority over alternative arrangements</w:t>
      </w:r>
    </w:p>
    <w:p w14:paraId="4A20F5CF" w14:textId="1FCD0FF7" w:rsidR="001D5A81" w:rsidRDefault="00025FA7" w:rsidP="00C705F1">
      <w:pPr>
        <w:spacing w:line="252" w:lineRule="auto"/>
        <w:ind w:left="792"/>
      </w:pPr>
      <w:r>
        <w:t>A proposed hypothecation arrangement</w:t>
      </w:r>
      <w:r w:rsidR="00B517C6">
        <w:t xml:space="preserve"> must</w:t>
      </w:r>
      <w:r w:rsidR="00F03E57">
        <w:t xml:space="preserve"> explain</w:t>
      </w:r>
      <w:r w:rsidR="001D5A81">
        <w:t>:</w:t>
      </w:r>
    </w:p>
    <w:p w14:paraId="5B5BC866" w14:textId="6D7D262F" w:rsidR="00025FA7" w:rsidRDefault="00025FA7" w:rsidP="00025FA7">
      <w:pPr>
        <w:pStyle w:val="ListParagraph"/>
        <w:numPr>
          <w:ilvl w:val="0"/>
          <w:numId w:val="55"/>
        </w:numPr>
        <w:spacing w:line="252" w:lineRule="auto"/>
      </w:pPr>
      <w:r>
        <w:t xml:space="preserve">why a </w:t>
      </w:r>
      <w:r w:rsidRPr="005F5125">
        <w:t xml:space="preserve">hypothecation arrangement </w:t>
      </w:r>
      <w:r>
        <w:t>is superior in the set of circumstances;</w:t>
      </w:r>
    </w:p>
    <w:p w14:paraId="5DF8B04A" w14:textId="7654CFB1" w:rsidR="00337226" w:rsidRDefault="00B517C6" w:rsidP="00A6340E">
      <w:pPr>
        <w:pStyle w:val="ListParagraph"/>
        <w:numPr>
          <w:ilvl w:val="0"/>
          <w:numId w:val="55"/>
        </w:numPr>
        <w:spacing w:line="252" w:lineRule="auto"/>
      </w:pPr>
      <w:r>
        <w:t>what</w:t>
      </w:r>
      <w:r w:rsidR="00A6340E" w:rsidRPr="005F5125">
        <w:t xml:space="preserve"> </w:t>
      </w:r>
      <w:r>
        <w:t>alternative</w:t>
      </w:r>
      <w:r w:rsidR="00A6340E" w:rsidRPr="005F5125">
        <w:t xml:space="preserve"> arrangements have been considered</w:t>
      </w:r>
      <w:r w:rsidR="00337226">
        <w:t>;</w:t>
      </w:r>
    </w:p>
    <w:p w14:paraId="573E6D95" w14:textId="6A3BAADC" w:rsidR="00A6340E" w:rsidRPr="005F5125" w:rsidRDefault="00025FA7" w:rsidP="00A6340E">
      <w:pPr>
        <w:pStyle w:val="ListParagraph"/>
        <w:numPr>
          <w:ilvl w:val="0"/>
          <w:numId w:val="55"/>
        </w:numPr>
        <w:spacing w:line="252" w:lineRule="auto"/>
      </w:pPr>
      <w:r>
        <w:t xml:space="preserve">the reasons </w:t>
      </w:r>
      <w:r w:rsidR="00B517C6">
        <w:t xml:space="preserve">why </w:t>
      </w:r>
      <w:r>
        <w:t xml:space="preserve">the alternative arrangements </w:t>
      </w:r>
      <w:r w:rsidR="00B517C6">
        <w:t xml:space="preserve">have </w:t>
      </w:r>
      <w:r w:rsidR="00A6340E" w:rsidRPr="005F5125">
        <w:t xml:space="preserve">not </w:t>
      </w:r>
      <w:r w:rsidR="00B517C6">
        <w:t xml:space="preserve">been deemed </w:t>
      </w:r>
      <w:r w:rsidR="00A6340E" w:rsidRPr="005F5125">
        <w:t>suitable for adoption</w:t>
      </w:r>
      <w:r>
        <w:t>; and</w:t>
      </w:r>
    </w:p>
    <w:p w14:paraId="10FEE0BF" w14:textId="7947D07C" w:rsidR="00A6340E" w:rsidRPr="005F5125" w:rsidRDefault="00A6340E" w:rsidP="00A6340E">
      <w:pPr>
        <w:pStyle w:val="ListParagraph"/>
        <w:numPr>
          <w:ilvl w:val="0"/>
          <w:numId w:val="55"/>
        </w:numPr>
        <w:spacing w:line="252" w:lineRule="auto"/>
      </w:pPr>
      <w:r w:rsidRPr="005F5125">
        <w:t>what differences in outcomes alternative</w:t>
      </w:r>
      <w:r w:rsidR="001D5A81">
        <w:t xml:space="preserve"> arrangements would</w:t>
      </w:r>
      <w:r w:rsidRPr="005F5125">
        <w:t xml:space="preserve"> likely produce</w:t>
      </w:r>
      <w:r w:rsidR="001D5A81">
        <w:t>.</w:t>
      </w:r>
      <w:r w:rsidRPr="005F5125">
        <w:t xml:space="preserve"> </w:t>
      </w:r>
    </w:p>
    <w:p w14:paraId="1D00BD48" w14:textId="0E084B68" w:rsidR="00A6340E" w:rsidRPr="00CE03C1" w:rsidRDefault="00A6340E" w:rsidP="00B47296">
      <w:pPr>
        <w:pStyle w:val="Heading4indent"/>
      </w:pPr>
      <w:r w:rsidRPr="00CE03C1">
        <w:lastRenderedPageBreak/>
        <w:t xml:space="preserve">Criteria 2 – Links to </w:t>
      </w:r>
      <w:r w:rsidR="00E37B75">
        <w:t>w</w:t>
      </w:r>
      <w:r w:rsidRPr="00CE03C1">
        <w:t>hole</w:t>
      </w:r>
      <w:r w:rsidR="00337226">
        <w:t>-</w:t>
      </w:r>
      <w:r w:rsidRPr="00CE03C1">
        <w:t>of</w:t>
      </w:r>
      <w:r w:rsidR="00337226">
        <w:t>-</w:t>
      </w:r>
      <w:r w:rsidR="00E37B75">
        <w:t>g</w:t>
      </w:r>
      <w:r w:rsidRPr="00CE03C1">
        <w:t xml:space="preserve">overnment </w:t>
      </w:r>
      <w:r w:rsidR="00631FB7">
        <w:t>p</w:t>
      </w:r>
      <w:r w:rsidRPr="00CE03C1">
        <w:t>riorities</w:t>
      </w:r>
    </w:p>
    <w:p w14:paraId="1742AACC" w14:textId="7EF0BAF9" w:rsidR="008F2CC6" w:rsidRDefault="00025FA7" w:rsidP="00C705F1">
      <w:pPr>
        <w:spacing w:line="252" w:lineRule="auto"/>
        <w:ind w:left="792"/>
      </w:pPr>
      <w:r>
        <w:t xml:space="preserve">A proposed hypothecation arrangement must consider the following </w:t>
      </w:r>
      <w:r w:rsidR="00337226">
        <w:t xml:space="preserve">questions with regards to </w:t>
      </w:r>
      <w:r>
        <w:t>whole-of-government priorities:</w:t>
      </w:r>
    </w:p>
    <w:p w14:paraId="406A27FB" w14:textId="77777777" w:rsidR="00A6340E" w:rsidRPr="005F5125" w:rsidRDefault="00A6340E" w:rsidP="00A6340E">
      <w:pPr>
        <w:pStyle w:val="ListParagraph"/>
        <w:numPr>
          <w:ilvl w:val="0"/>
          <w:numId w:val="80"/>
        </w:numPr>
        <w:spacing w:line="252" w:lineRule="auto"/>
      </w:pPr>
      <w:r w:rsidRPr="005F5125">
        <w:t xml:space="preserve">What key Government priority does the proposal hope to achieve and how will it do this? </w:t>
      </w:r>
    </w:p>
    <w:p w14:paraId="438CA432" w14:textId="77777777" w:rsidR="00A6340E" w:rsidRPr="005F5125" w:rsidRDefault="00A6340E" w:rsidP="00A6340E">
      <w:pPr>
        <w:pStyle w:val="ListParagraph"/>
        <w:numPr>
          <w:ilvl w:val="0"/>
          <w:numId w:val="80"/>
        </w:numPr>
        <w:spacing w:line="252" w:lineRule="auto"/>
      </w:pPr>
      <w:r w:rsidRPr="005F5125">
        <w:t xml:space="preserve">Are the proposed spending </w:t>
      </w:r>
      <w:r>
        <w:t>initiatives likely to remain a G</w:t>
      </w:r>
      <w:r w:rsidRPr="005F5125">
        <w:t xml:space="preserve">overnment priority over the next four to five years? </w:t>
      </w:r>
    </w:p>
    <w:p w14:paraId="3152306A" w14:textId="77777777" w:rsidR="00A6340E" w:rsidRPr="005F5125" w:rsidRDefault="00A6340E" w:rsidP="00A6340E">
      <w:pPr>
        <w:pStyle w:val="ListParagraph"/>
        <w:numPr>
          <w:ilvl w:val="0"/>
          <w:numId w:val="80"/>
        </w:numPr>
        <w:spacing w:line="252" w:lineRule="auto"/>
      </w:pPr>
      <w:r w:rsidRPr="005F5125">
        <w:t>What flexibility is there to adapt the funding to any future changes in Government priorities?</w:t>
      </w:r>
    </w:p>
    <w:p w14:paraId="39182B99" w14:textId="77777777" w:rsidR="00A6340E" w:rsidRPr="00CE03C1" w:rsidRDefault="00A6340E" w:rsidP="00B47296">
      <w:pPr>
        <w:pStyle w:val="Heading4indent"/>
      </w:pPr>
      <w:r w:rsidRPr="00CE03C1">
        <w:t>Criteria 3 – Clear link between revenue sources and expenditure</w:t>
      </w:r>
    </w:p>
    <w:p w14:paraId="6F4D654B" w14:textId="5BF3921B" w:rsidR="00A6340E" w:rsidRPr="005F5125" w:rsidRDefault="00835F88" w:rsidP="00C705F1">
      <w:pPr>
        <w:spacing w:line="252" w:lineRule="auto"/>
        <w:ind w:left="792"/>
      </w:pPr>
      <w:r>
        <w:t xml:space="preserve">A </w:t>
      </w:r>
      <w:r w:rsidR="00337226">
        <w:t xml:space="preserve">proposed hypothecation arrangement </w:t>
      </w:r>
      <w:r>
        <w:t xml:space="preserve">must demonstrate a </w:t>
      </w:r>
      <w:r w:rsidR="00A6340E" w:rsidRPr="005F5125">
        <w:t xml:space="preserve">clear link between the new revenue source and </w:t>
      </w:r>
      <w:r w:rsidR="00131C3C">
        <w:t xml:space="preserve">proposed </w:t>
      </w:r>
      <w:r w:rsidR="00A6340E" w:rsidRPr="005F5125">
        <w:t>expenditure</w:t>
      </w:r>
      <w:r>
        <w:t>.</w:t>
      </w:r>
    </w:p>
    <w:p w14:paraId="0733F0DA" w14:textId="39194D9F" w:rsidR="00A6340E" w:rsidRPr="00CE03C1" w:rsidRDefault="00A6340E" w:rsidP="00B47296">
      <w:pPr>
        <w:pStyle w:val="Heading4indent"/>
      </w:pPr>
      <w:r w:rsidRPr="00CE03C1">
        <w:t>Criteria 4 – Stable expenditure stream</w:t>
      </w:r>
      <w:r w:rsidR="00337226">
        <w:t>s</w:t>
      </w:r>
      <w:r w:rsidRPr="00CE03C1">
        <w:t xml:space="preserve"> and revenue source</w:t>
      </w:r>
    </w:p>
    <w:p w14:paraId="25CA2586" w14:textId="588C8E1F" w:rsidR="00337226" w:rsidRDefault="00337226" w:rsidP="00C705F1">
      <w:pPr>
        <w:spacing w:line="252" w:lineRule="auto"/>
        <w:ind w:left="792"/>
      </w:pPr>
      <w:r>
        <w:t>A proposed hypothecation arrangement must</w:t>
      </w:r>
      <w:r w:rsidR="00DE236D">
        <w:t>:</w:t>
      </w:r>
    </w:p>
    <w:p w14:paraId="6EAB7F62" w14:textId="480AD3E8" w:rsidR="00A6340E" w:rsidRPr="005F5125" w:rsidRDefault="00835F88" w:rsidP="00A6340E">
      <w:pPr>
        <w:pStyle w:val="ListParagraph"/>
        <w:numPr>
          <w:ilvl w:val="0"/>
          <w:numId w:val="81"/>
        </w:numPr>
        <w:spacing w:line="252" w:lineRule="auto"/>
      </w:pPr>
      <w:r>
        <w:t xml:space="preserve">state the </w:t>
      </w:r>
      <w:r w:rsidR="00A6340E" w:rsidRPr="005F5125">
        <w:t>anticipated size and timing of the expenditure and revenue streams, and how the</w:t>
      </w:r>
      <w:r>
        <w:t xml:space="preserve"> </w:t>
      </w:r>
      <w:r w:rsidR="00A6340E" w:rsidRPr="005F5125">
        <w:t xml:space="preserve">streams </w:t>
      </w:r>
      <w:r>
        <w:t xml:space="preserve">will </w:t>
      </w:r>
      <w:r w:rsidR="00A6340E" w:rsidRPr="005F5125">
        <w:t>vary over time</w:t>
      </w:r>
      <w:r w:rsidR="00337226">
        <w:t xml:space="preserve">; and </w:t>
      </w:r>
    </w:p>
    <w:p w14:paraId="4442C88A" w14:textId="5B518ECB" w:rsidR="00A6340E" w:rsidRPr="005F5125" w:rsidRDefault="00B517C6" w:rsidP="00A6340E">
      <w:pPr>
        <w:pStyle w:val="ListParagraph"/>
        <w:numPr>
          <w:ilvl w:val="0"/>
          <w:numId w:val="81"/>
        </w:numPr>
        <w:spacing w:line="252" w:lineRule="auto"/>
      </w:pPr>
      <w:r>
        <w:t xml:space="preserve">explain any </w:t>
      </w:r>
      <w:r w:rsidR="00F67938">
        <w:t xml:space="preserve">risks associated with </w:t>
      </w:r>
      <w:r>
        <w:t xml:space="preserve">the </w:t>
      </w:r>
      <w:r w:rsidR="00A6340E" w:rsidRPr="005F5125">
        <w:t xml:space="preserve">forecasting </w:t>
      </w:r>
      <w:r>
        <w:t xml:space="preserve">of </w:t>
      </w:r>
      <w:r w:rsidR="00A6340E" w:rsidRPr="005F5125">
        <w:t>the revenue and expenditure streams</w:t>
      </w:r>
      <w:r w:rsidR="00337226">
        <w:t>.</w:t>
      </w:r>
    </w:p>
    <w:p w14:paraId="51142C3A" w14:textId="77777777" w:rsidR="00A6340E" w:rsidRPr="00CE03C1" w:rsidRDefault="00A6340E" w:rsidP="00B47296">
      <w:pPr>
        <w:pStyle w:val="Heading4indent"/>
      </w:pPr>
      <w:r w:rsidRPr="00CE03C1">
        <w:t>Criteria 5 – Regular review process</w:t>
      </w:r>
    </w:p>
    <w:p w14:paraId="79529788" w14:textId="12E2D681" w:rsidR="00A6340E" w:rsidRDefault="00631FB7">
      <w:pPr>
        <w:spacing w:line="252" w:lineRule="auto"/>
        <w:ind w:left="792"/>
      </w:pPr>
      <w:r>
        <w:t xml:space="preserve">All hypothecation arrangement </w:t>
      </w:r>
      <w:r w:rsidR="008E1A6E">
        <w:t>proposals</w:t>
      </w:r>
      <w:r>
        <w:t xml:space="preserve"> must </w:t>
      </w:r>
      <w:r w:rsidR="008E1A6E">
        <w:t xml:space="preserve">incorporate a formal </w:t>
      </w:r>
      <w:r>
        <w:t>review mechanism</w:t>
      </w:r>
      <w:r w:rsidR="008E1A6E">
        <w:t xml:space="preserve"> and sunset clause</w:t>
      </w:r>
      <w:r>
        <w:t>.</w:t>
      </w:r>
    </w:p>
    <w:p w14:paraId="708C2933" w14:textId="77777777" w:rsidR="00A6340E" w:rsidRDefault="00A6340E" w:rsidP="00A6340E">
      <w:pPr>
        <w:spacing w:before="0" w:after="200"/>
        <w:rPr>
          <w:rFonts w:asciiTheme="majorHAnsi" w:eastAsiaTheme="majorEastAsia" w:hAnsiTheme="majorHAnsi" w:cstheme="majorBidi"/>
          <w:b/>
          <w:bCs/>
          <w:color w:val="0063A6" w:themeColor="accent1"/>
          <w:sz w:val="28"/>
          <w:szCs w:val="26"/>
          <w:lang w:eastAsia="en-US"/>
        </w:rPr>
      </w:pPr>
      <w:r>
        <w:br w:type="page"/>
      </w:r>
    </w:p>
    <w:p w14:paraId="4C157FD7" w14:textId="77777777" w:rsidR="00A6340E" w:rsidRDefault="00A6340E" w:rsidP="00A6340E">
      <w:pPr>
        <w:pStyle w:val="Heading2numbered"/>
      </w:pPr>
      <w:bookmarkStart w:id="506" w:name="_Toc463337402"/>
      <w:bookmarkStart w:id="507" w:name="_Toc476658147"/>
      <w:r>
        <w:lastRenderedPageBreak/>
        <w:t>Central contingencies</w:t>
      </w:r>
      <w:bookmarkEnd w:id="506"/>
      <w:bookmarkEnd w:id="507"/>
    </w:p>
    <w:tbl>
      <w:tblPr>
        <w:tblStyle w:val="Mandatory"/>
        <w:tblW w:w="7483" w:type="dxa"/>
        <w:tblLook w:val="0620" w:firstRow="1" w:lastRow="0" w:firstColumn="0" w:lastColumn="0" w:noHBand="1" w:noVBand="1"/>
      </w:tblPr>
      <w:tblGrid>
        <w:gridCol w:w="7483"/>
      </w:tblGrid>
      <w:tr w:rsidR="00273D78" w:rsidRPr="00402C76" w14:paraId="4F9235B5" w14:textId="77777777" w:rsidTr="005A78DF">
        <w:trPr>
          <w:cnfStyle w:val="100000000000" w:firstRow="1" w:lastRow="0" w:firstColumn="0" w:lastColumn="0" w:oddVBand="0" w:evenVBand="0" w:oddHBand="0" w:evenHBand="0" w:firstRowFirstColumn="0" w:firstRowLastColumn="0" w:lastRowFirstColumn="0" w:lastRowLastColumn="0"/>
        </w:trPr>
        <w:tc>
          <w:tcPr>
            <w:tcW w:w="7483" w:type="dxa"/>
          </w:tcPr>
          <w:p w14:paraId="2FC26465" w14:textId="02D5864D" w:rsidR="00273D78" w:rsidRPr="00402C76" w:rsidRDefault="00273D78" w:rsidP="00273D78">
            <w:pPr>
              <w:spacing w:before="120" w:after="60"/>
              <w:rPr>
                <w:b w:val="0"/>
                <w:sz w:val="20"/>
              </w:rPr>
            </w:pPr>
            <w:r w:rsidRPr="00402C76">
              <w:rPr>
                <w:b w:val="0"/>
                <w:sz w:val="20"/>
              </w:rPr>
              <w:t>Mandatory requirements</w:t>
            </w:r>
            <w:r w:rsidRPr="00402C76">
              <w:rPr>
                <w:b w:val="0"/>
                <w:sz w:val="20"/>
              </w:rPr>
              <w:br/>
            </w:r>
            <w:r>
              <w:rPr>
                <w:b w:val="0"/>
                <w:sz w:val="20"/>
              </w:rPr>
              <w:t>CENTRAL CONTINGENCIES</w:t>
            </w:r>
          </w:p>
        </w:tc>
      </w:tr>
      <w:tr w:rsidR="00273D78" w:rsidRPr="00402C76" w14:paraId="43BA614F" w14:textId="77777777" w:rsidTr="005A78DF">
        <w:trPr>
          <w:trHeight w:val="589"/>
        </w:trPr>
        <w:tc>
          <w:tcPr>
            <w:tcW w:w="7483" w:type="dxa"/>
          </w:tcPr>
          <w:p w14:paraId="37233161" w14:textId="3D5BFC62" w:rsidR="00273D78" w:rsidRPr="00402C76" w:rsidRDefault="00273D78" w:rsidP="00D03A1C">
            <w:pPr>
              <w:pStyle w:val="Heading3numbered"/>
              <w:numPr>
                <w:ilvl w:val="4"/>
                <w:numId w:val="83"/>
              </w:numPr>
            </w:pPr>
            <w:bookmarkStart w:id="508" w:name="_Toc476658148"/>
            <w:r w:rsidRPr="00402C76">
              <w:t xml:space="preserve">Process </w:t>
            </w:r>
            <w:r w:rsidRPr="00B46F3E">
              <w:t>and</w:t>
            </w:r>
            <w:r w:rsidRPr="00402C76">
              <w:t xml:space="preserve"> requirements for requests</w:t>
            </w:r>
            <w:r w:rsidR="001C4194">
              <w:t xml:space="preserve"> to access central contingencies</w:t>
            </w:r>
            <w:bookmarkEnd w:id="508"/>
          </w:p>
          <w:p w14:paraId="5652E5AA" w14:textId="20F33773" w:rsidR="00273D78" w:rsidRDefault="00273D78" w:rsidP="003D272A">
            <w:pPr>
              <w:spacing w:before="100"/>
              <w:ind w:left="792"/>
            </w:pPr>
            <w:r w:rsidRPr="00CE48BD">
              <w:t xml:space="preserve">In </w:t>
            </w:r>
            <w:r w:rsidR="00F53DCA">
              <w:t>requesting</w:t>
            </w:r>
            <w:r w:rsidRPr="00CE48BD">
              <w:t xml:space="preserve"> a</w:t>
            </w:r>
            <w:r w:rsidR="00B73314">
              <w:t xml:space="preserve">ccess to </w:t>
            </w:r>
            <w:r w:rsidR="00F53DCA">
              <w:t xml:space="preserve">funding from </w:t>
            </w:r>
            <w:r w:rsidR="00B73314">
              <w:t>central contingenc</w:t>
            </w:r>
            <w:r w:rsidR="007537E2">
              <w:t>ies</w:t>
            </w:r>
            <w:r w:rsidR="00B73314">
              <w:t xml:space="preserve"> for previously approved </w:t>
            </w:r>
            <w:r w:rsidR="007537E2">
              <w:t xml:space="preserve">Government </w:t>
            </w:r>
            <w:r w:rsidR="00B73314">
              <w:t>funding</w:t>
            </w:r>
            <w:r w:rsidR="007537E2">
              <w:t xml:space="preserve"> decisions</w:t>
            </w:r>
            <w:r w:rsidR="00B73314">
              <w:t>,</w:t>
            </w:r>
            <w:r w:rsidRPr="00CE48BD">
              <w:t xml:space="preserve"> </w:t>
            </w:r>
            <w:r w:rsidR="00B73314">
              <w:t xml:space="preserve">a </w:t>
            </w:r>
            <w:r w:rsidRPr="00CE48BD">
              <w:t xml:space="preserve">Department must ensure the </w:t>
            </w:r>
            <w:r w:rsidR="00F53DCA">
              <w:t>request documentation</w:t>
            </w:r>
            <w:r w:rsidR="00F53DCA" w:rsidRPr="00CE48BD">
              <w:t xml:space="preserve"> </w:t>
            </w:r>
            <w:r w:rsidRPr="00CE48BD">
              <w:t>includes:</w:t>
            </w:r>
          </w:p>
          <w:p w14:paraId="454197A1" w14:textId="10C90551" w:rsidR="00273D78" w:rsidRDefault="00273D78" w:rsidP="003D272A">
            <w:pPr>
              <w:pStyle w:val="Listnumindent"/>
            </w:pPr>
            <w:r w:rsidRPr="007B4952">
              <w:t>the reasons</w:t>
            </w:r>
            <w:r w:rsidR="00B1246F">
              <w:t xml:space="preserve"> and context</w:t>
            </w:r>
            <w:r w:rsidRPr="007B4952">
              <w:t xml:space="preserve"> for the request;</w:t>
            </w:r>
          </w:p>
          <w:p w14:paraId="0062D269" w14:textId="77777777" w:rsidR="00273D78" w:rsidRDefault="00273D78" w:rsidP="003D272A">
            <w:pPr>
              <w:pStyle w:val="Listnumindent"/>
            </w:pPr>
            <w:r w:rsidRPr="00414C6B">
              <w:t>the q</w:t>
            </w:r>
            <w:r>
              <w:t>uantum of the funding sought;</w:t>
            </w:r>
          </w:p>
          <w:p w14:paraId="6A2EAE3B" w14:textId="2EB23FFD" w:rsidR="00273D78" w:rsidRDefault="00B1246F" w:rsidP="003D272A">
            <w:pPr>
              <w:pStyle w:val="Listnumindent"/>
            </w:pPr>
            <w:r>
              <w:t>reference to the Government decision to support the request;</w:t>
            </w:r>
          </w:p>
          <w:p w14:paraId="1BDEEE18" w14:textId="77777777" w:rsidR="00273D78" w:rsidRDefault="00273D78" w:rsidP="003D272A">
            <w:pPr>
              <w:pStyle w:val="Listnumindent"/>
            </w:pPr>
            <w:r w:rsidRPr="00414C6B">
              <w:t>how the funding request aligns with Government objectives</w:t>
            </w:r>
            <w:r>
              <w:t>;</w:t>
            </w:r>
          </w:p>
          <w:p w14:paraId="5260DCB8" w14:textId="77777777" w:rsidR="00273D78" w:rsidRDefault="00273D78" w:rsidP="003D272A">
            <w:pPr>
              <w:pStyle w:val="Listnumindent"/>
            </w:pPr>
            <w:r>
              <w:t>any proposed adjustments to output and financial performance targets arising from the request; and</w:t>
            </w:r>
          </w:p>
          <w:p w14:paraId="69005C0D" w14:textId="4864CC89" w:rsidR="00273D78" w:rsidRDefault="00273D78" w:rsidP="003D272A">
            <w:pPr>
              <w:pStyle w:val="Listnumindent"/>
            </w:pPr>
            <w:r w:rsidRPr="00402C76">
              <w:t>any funding variations previously approved by the Treasurer or the relevant Cabinet Committee</w:t>
            </w:r>
            <w:r>
              <w:t xml:space="preserve"> for the program or output</w:t>
            </w:r>
            <w:r w:rsidRPr="00402C76">
              <w:t>.</w:t>
            </w:r>
          </w:p>
          <w:p w14:paraId="4DD85D6D" w14:textId="06CA951B" w:rsidR="00273D78" w:rsidRPr="00402C76" w:rsidRDefault="00273D78" w:rsidP="005A78DF">
            <w:pPr>
              <w:pStyle w:val="Heading3numbered"/>
            </w:pPr>
            <w:bookmarkStart w:id="509" w:name="_Toc476658149"/>
            <w:r w:rsidRPr="00402C76">
              <w:t>Reporting on expenditure</w:t>
            </w:r>
            <w:r w:rsidR="003434AC">
              <w:t xml:space="preserve"> from central contingencies</w:t>
            </w:r>
            <w:bookmarkEnd w:id="509"/>
          </w:p>
          <w:p w14:paraId="0084FE5C" w14:textId="4D979584" w:rsidR="00273D78" w:rsidRPr="00402C76" w:rsidRDefault="00273D78" w:rsidP="005A78DF">
            <w:pPr>
              <w:spacing w:before="100"/>
              <w:ind w:left="792"/>
            </w:pPr>
            <w:r w:rsidRPr="00402C76">
              <w:t xml:space="preserve">All expenses and obligations to which any </w:t>
            </w:r>
            <w:r w:rsidR="003434AC">
              <w:t>funding from central contingency</w:t>
            </w:r>
            <w:r w:rsidRPr="00402C76">
              <w:t xml:space="preserve"> is applied</w:t>
            </w:r>
            <w:r w:rsidR="003434AC">
              <w:t>, if relate</w:t>
            </w:r>
            <w:r w:rsidR="00A23D10">
              <w:t>d</w:t>
            </w:r>
            <w:r w:rsidR="003434AC">
              <w:t xml:space="preserve"> to funding from the Treasurer’s Advance, </w:t>
            </w:r>
            <w:r w:rsidRPr="00402C76">
              <w:t xml:space="preserve">must be reported in the financial year in which the </w:t>
            </w:r>
            <w:r w:rsidR="003434AC">
              <w:t>funding</w:t>
            </w:r>
            <w:r w:rsidRPr="00402C76">
              <w:t xml:space="preserve"> was </w:t>
            </w:r>
            <w:r w:rsidR="003434AC">
              <w:t>provided</w:t>
            </w:r>
            <w:r w:rsidRPr="00402C76">
              <w:t>.</w:t>
            </w:r>
          </w:p>
          <w:p w14:paraId="091EC825" w14:textId="5EC33D30" w:rsidR="00273D78" w:rsidRPr="00402C76" w:rsidRDefault="00273D78" w:rsidP="005A78DF">
            <w:pPr>
              <w:pStyle w:val="Heading3numbered"/>
            </w:pPr>
            <w:bookmarkStart w:id="510" w:name="_Toc476658150"/>
            <w:r w:rsidRPr="00402C76">
              <w:t xml:space="preserve">Restrictions on </w:t>
            </w:r>
            <w:r w:rsidR="003434AC">
              <w:t>central contingencies</w:t>
            </w:r>
            <w:bookmarkEnd w:id="510"/>
          </w:p>
          <w:p w14:paraId="7CF0FA2C" w14:textId="14DC6D3A" w:rsidR="00273D78" w:rsidRPr="00402C76" w:rsidRDefault="00273D78" w:rsidP="005A78DF">
            <w:pPr>
              <w:spacing w:before="100"/>
              <w:ind w:left="792"/>
            </w:pPr>
            <w:r w:rsidRPr="00402C76">
              <w:t xml:space="preserve">Any unapplied component of </w:t>
            </w:r>
            <w:r w:rsidR="003434AC">
              <w:t xml:space="preserve">funding from central contingency from </w:t>
            </w:r>
            <w:r w:rsidRPr="00402C76">
              <w:t xml:space="preserve">a </w:t>
            </w:r>
            <w:r w:rsidRPr="009B4213">
              <w:t>Treasurer’s Advance</w:t>
            </w:r>
            <w:r w:rsidRPr="00402C76">
              <w:t xml:space="preserve"> in a given year lapses</w:t>
            </w:r>
            <w:r>
              <w:t xml:space="preserve"> at the end of the year. Departments are not permitted to carry over </w:t>
            </w:r>
            <w:r w:rsidR="003434AC">
              <w:t xml:space="preserve">contingency funding sourced from </w:t>
            </w:r>
            <w:r>
              <w:t xml:space="preserve">Treasurer’s Advance </w:t>
            </w:r>
            <w:r w:rsidRPr="00402C76">
              <w:t>to the following year.</w:t>
            </w:r>
          </w:p>
        </w:tc>
      </w:tr>
    </w:tbl>
    <w:p w14:paraId="6FD62DC0" w14:textId="77777777" w:rsidR="00A6340E" w:rsidRPr="00862803" w:rsidRDefault="00A6340E" w:rsidP="00056F4E">
      <w:pPr>
        <w:pStyle w:val="Heading2indent"/>
      </w:pPr>
      <w:r w:rsidRPr="00862803">
        <w:t>Guidance</w:t>
      </w:r>
    </w:p>
    <w:p w14:paraId="507DF57E" w14:textId="77777777" w:rsidR="003434AC" w:rsidRPr="00402C76" w:rsidRDefault="003434AC" w:rsidP="000B672C">
      <w:pPr>
        <w:pStyle w:val="Heading3indent"/>
      </w:pPr>
      <w:r w:rsidRPr="00402C76">
        <w:t>Definition</w:t>
      </w:r>
    </w:p>
    <w:p w14:paraId="06A60601" w14:textId="3848BC65" w:rsidR="00A6340E" w:rsidRPr="00AE4478" w:rsidRDefault="00A6340E" w:rsidP="00A6340E">
      <w:pPr>
        <w:pStyle w:val="NormalIndent"/>
        <w:rPr>
          <w:rFonts w:eastAsia="Calibri"/>
          <w:lang w:eastAsia="en-US"/>
        </w:rPr>
      </w:pPr>
      <w:r w:rsidRPr="00AE4478">
        <w:rPr>
          <w:rFonts w:eastAsia="Calibri"/>
          <w:lang w:eastAsia="en-US"/>
        </w:rPr>
        <w:t>Central c</w:t>
      </w:r>
      <w:r w:rsidRPr="00AE4478" w:rsidDel="001F216E">
        <w:rPr>
          <w:rFonts w:eastAsia="Calibri"/>
          <w:lang w:eastAsia="en-US"/>
        </w:rPr>
        <w:t xml:space="preserve">ontingencies are provisions </w:t>
      </w:r>
      <w:r>
        <w:rPr>
          <w:rFonts w:eastAsia="Calibri"/>
          <w:lang w:eastAsia="en-US"/>
        </w:rPr>
        <w:t xml:space="preserve">established by </w:t>
      </w:r>
      <w:r w:rsidR="00E37B75">
        <w:rPr>
          <w:rFonts w:eastAsia="Calibri"/>
          <w:lang w:eastAsia="en-US"/>
        </w:rPr>
        <w:t>g</w:t>
      </w:r>
      <w:r>
        <w:rPr>
          <w:rFonts w:eastAsia="Calibri"/>
          <w:lang w:eastAsia="en-US"/>
        </w:rPr>
        <w:t xml:space="preserve">overnment </w:t>
      </w:r>
      <w:r w:rsidRPr="00AE4478" w:rsidDel="001F216E">
        <w:rPr>
          <w:rFonts w:eastAsia="Calibri"/>
          <w:lang w:eastAsia="en-US"/>
        </w:rPr>
        <w:t xml:space="preserve">for </w:t>
      </w:r>
      <w:r w:rsidRPr="00AE4478">
        <w:rPr>
          <w:rFonts w:eastAsia="Calibri"/>
          <w:lang w:eastAsia="en-US"/>
        </w:rPr>
        <w:t xml:space="preserve">future </w:t>
      </w:r>
      <w:r w:rsidRPr="00AE4478" w:rsidDel="001F216E">
        <w:rPr>
          <w:rFonts w:eastAsia="Calibri"/>
          <w:lang w:eastAsia="en-US"/>
        </w:rPr>
        <w:t>expenditure</w:t>
      </w:r>
      <w:r w:rsidRPr="00AE4478">
        <w:rPr>
          <w:rFonts w:eastAsia="Calibri"/>
          <w:lang w:eastAsia="en-US"/>
        </w:rPr>
        <w:t xml:space="preserve"> </w:t>
      </w:r>
      <w:r w:rsidRPr="00AE4478" w:rsidDel="001F216E">
        <w:rPr>
          <w:rFonts w:eastAsia="Calibri"/>
          <w:lang w:eastAsia="en-US"/>
        </w:rPr>
        <w:t>which ha</w:t>
      </w:r>
      <w:r>
        <w:rPr>
          <w:rFonts w:eastAsia="Calibri"/>
          <w:lang w:eastAsia="en-US"/>
        </w:rPr>
        <w:t>ve</w:t>
      </w:r>
      <w:r w:rsidRPr="00AE4478" w:rsidDel="001F216E">
        <w:rPr>
          <w:rFonts w:eastAsia="Calibri"/>
          <w:lang w:eastAsia="en-US"/>
        </w:rPr>
        <w:t xml:space="preserve"> not ye</w:t>
      </w:r>
      <w:r w:rsidRPr="00AE4478">
        <w:rPr>
          <w:rFonts w:eastAsia="Calibri"/>
          <w:lang w:eastAsia="en-US"/>
        </w:rPr>
        <w:t xml:space="preserve">t been allocated to specific departments. These </w:t>
      </w:r>
      <w:r>
        <w:rPr>
          <w:rFonts w:eastAsia="Calibri"/>
          <w:lang w:eastAsia="en-US"/>
        </w:rPr>
        <w:t xml:space="preserve">contingencies </w:t>
      </w:r>
      <w:r w:rsidRPr="00AE4478">
        <w:rPr>
          <w:rFonts w:eastAsia="Calibri"/>
          <w:lang w:eastAsia="en-US"/>
        </w:rPr>
        <w:t>are held and managed by DTF.</w:t>
      </w:r>
    </w:p>
    <w:p w14:paraId="2A411361" w14:textId="77777777" w:rsidR="00A6340E" w:rsidRPr="00AE4478" w:rsidRDefault="00A6340E" w:rsidP="00A6340E">
      <w:pPr>
        <w:pStyle w:val="NormalIndent"/>
        <w:rPr>
          <w:rFonts w:eastAsia="Calibri"/>
          <w:lang w:eastAsia="en-US"/>
        </w:rPr>
      </w:pPr>
      <w:r>
        <w:rPr>
          <w:rFonts w:eastAsia="Calibri"/>
          <w:lang w:eastAsia="en-US"/>
        </w:rPr>
        <w:t>Government may set aside c</w:t>
      </w:r>
      <w:r w:rsidRPr="00AE4478">
        <w:rPr>
          <w:rFonts w:eastAsia="Calibri"/>
          <w:lang w:eastAsia="en-US"/>
        </w:rPr>
        <w:t>entral c</w:t>
      </w:r>
      <w:r w:rsidRPr="00AE4478" w:rsidDel="001F216E">
        <w:rPr>
          <w:rFonts w:eastAsia="Calibri"/>
          <w:lang w:eastAsia="en-US"/>
        </w:rPr>
        <w:t>ontingencies to</w:t>
      </w:r>
      <w:r w:rsidRPr="00AE4478">
        <w:rPr>
          <w:rFonts w:eastAsia="Calibri"/>
          <w:lang w:eastAsia="en-US"/>
        </w:rPr>
        <w:t xml:space="preserve"> </w:t>
      </w:r>
      <w:r>
        <w:rPr>
          <w:rFonts w:eastAsia="Calibri"/>
          <w:lang w:eastAsia="en-US"/>
        </w:rPr>
        <w:t>provide</w:t>
      </w:r>
      <w:r w:rsidRPr="00AE4478">
        <w:rPr>
          <w:rFonts w:eastAsia="Calibri"/>
          <w:lang w:eastAsia="en-US"/>
        </w:rPr>
        <w:t xml:space="preserve"> for:</w:t>
      </w:r>
    </w:p>
    <w:p w14:paraId="1D9140DD" w14:textId="77777777" w:rsidR="00A6340E" w:rsidRDefault="00A6340E" w:rsidP="00A6340E">
      <w:pPr>
        <w:pStyle w:val="Bulletindent"/>
        <w:rPr>
          <w:rFonts w:eastAsia="Calibri"/>
          <w:lang w:eastAsia="en-US"/>
        </w:rPr>
      </w:pPr>
      <w:r>
        <w:rPr>
          <w:rFonts w:eastAsia="Calibri"/>
          <w:lang w:eastAsia="en-US"/>
        </w:rPr>
        <w:t>service growth;</w:t>
      </w:r>
      <w:r w:rsidRPr="00AE4478" w:rsidDel="001F216E">
        <w:rPr>
          <w:rFonts w:eastAsia="Calibri"/>
          <w:lang w:eastAsia="en-US"/>
        </w:rPr>
        <w:t xml:space="preserve"> </w:t>
      </w:r>
    </w:p>
    <w:p w14:paraId="687222D8" w14:textId="77777777" w:rsidR="00A6340E" w:rsidRPr="00AE4478" w:rsidRDefault="00A6340E" w:rsidP="00A6340E">
      <w:pPr>
        <w:pStyle w:val="Bulletindent"/>
        <w:rPr>
          <w:rFonts w:eastAsia="Calibri"/>
          <w:lang w:eastAsia="en-US"/>
        </w:rPr>
      </w:pPr>
      <w:r w:rsidRPr="00AE4478" w:rsidDel="001F216E">
        <w:rPr>
          <w:rFonts w:eastAsia="Calibri"/>
          <w:lang w:eastAsia="en-US"/>
        </w:rPr>
        <w:t>new initiatives in future budgets</w:t>
      </w:r>
      <w:r w:rsidRPr="00AE4478">
        <w:rPr>
          <w:rFonts w:eastAsia="Calibri"/>
          <w:lang w:eastAsia="en-US"/>
        </w:rPr>
        <w:t>;</w:t>
      </w:r>
    </w:p>
    <w:p w14:paraId="7DAF9A06" w14:textId="77777777" w:rsidR="00A6340E" w:rsidRPr="00AE4478" w:rsidRDefault="00A6340E" w:rsidP="00A6340E">
      <w:pPr>
        <w:pStyle w:val="Bulletindent"/>
        <w:rPr>
          <w:rFonts w:eastAsia="Calibri"/>
          <w:lang w:eastAsia="en-US"/>
        </w:rPr>
      </w:pPr>
      <w:r>
        <w:rPr>
          <w:rFonts w:eastAsia="Calibri"/>
          <w:lang w:eastAsia="en-US"/>
        </w:rPr>
        <w:t>G</w:t>
      </w:r>
      <w:r w:rsidRPr="00AE4478">
        <w:rPr>
          <w:rFonts w:eastAsia="Calibri"/>
          <w:lang w:eastAsia="en-US"/>
        </w:rPr>
        <w:t xml:space="preserve">overnment decisions which for various reasons, are not recorded in </w:t>
      </w:r>
      <w:r>
        <w:rPr>
          <w:rFonts w:eastAsia="Calibri"/>
          <w:lang w:eastAsia="en-US"/>
        </w:rPr>
        <w:t>the relevant D</w:t>
      </w:r>
      <w:r w:rsidRPr="00AE4478">
        <w:rPr>
          <w:rFonts w:eastAsia="Calibri"/>
          <w:lang w:eastAsia="en-US"/>
        </w:rPr>
        <w:t>epartment’s or agency’s financial statements at that time;</w:t>
      </w:r>
    </w:p>
    <w:p w14:paraId="54B4C50D" w14:textId="77777777" w:rsidR="00A6340E" w:rsidRPr="00AE4478" w:rsidRDefault="00A6340E" w:rsidP="00A6340E">
      <w:pPr>
        <w:pStyle w:val="Bulletindent"/>
        <w:rPr>
          <w:rFonts w:eastAsia="Calibri"/>
          <w:lang w:eastAsia="en-US"/>
        </w:rPr>
      </w:pPr>
      <w:r w:rsidRPr="00AE4478">
        <w:rPr>
          <w:rFonts w:eastAsia="Calibri"/>
          <w:lang w:eastAsia="en-US"/>
        </w:rPr>
        <w:t>future cost pressures; and</w:t>
      </w:r>
    </w:p>
    <w:p w14:paraId="35F85AB7" w14:textId="77777777" w:rsidR="00A6340E" w:rsidRPr="00AE4478" w:rsidDel="001F216E" w:rsidRDefault="00A6340E" w:rsidP="00A6340E">
      <w:pPr>
        <w:pStyle w:val="Bulletindent"/>
        <w:rPr>
          <w:rFonts w:eastAsia="Calibri"/>
          <w:lang w:eastAsia="en-US"/>
        </w:rPr>
      </w:pPr>
      <w:r w:rsidRPr="00AE4478">
        <w:rPr>
          <w:rFonts w:eastAsia="Calibri"/>
          <w:lang w:eastAsia="en-US"/>
        </w:rPr>
        <w:t>urgent and unforeseen expenditure.</w:t>
      </w:r>
    </w:p>
    <w:p w14:paraId="0FF34080" w14:textId="77777777" w:rsidR="0029606D" w:rsidRDefault="0029606D">
      <w:pPr>
        <w:spacing w:before="0" w:after="200"/>
        <w:rPr>
          <w:rFonts w:eastAsia="Calibri"/>
          <w:lang w:eastAsia="en-US"/>
        </w:rPr>
      </w:pPr>
      <w:r>
        <w:rPr>
          <w:rFonts w:eastAsia="Calibri"/>
          <w:lang w:eastAsia="en-US"/>
        </w:rPr>
        <w:br w:type="page"/>
      </w:r>
    </w:p>
    <w:p w14:paraId="4BA9363C" w14:textId="732C923E" w:rsidR="00BF4C77" w:rsidRPr="00581FF7" w:rsidRDefault="00A6340E">
      <w:pPr>
        <w:pStyle w:val="NormalIndent"/>
        <w:rPr>
          <w:rFonts w:eastAsia="Calibri"/>
          <w:lang w:eastAsia="en-US"/>
        </w:rPr>
      </w:pPr>
      <w:r w:rsidRPr="00AE4478">
        <w:rPr>
          <w:rFonts w:eastAsia="Calibri"/>
          <w:lang w:eastAsia="en-US"/>
        </w:rPr>
        <w:lastRenderedPageBreak/>
        <w:t>Central contingencies for outputs and assets are outlined in the notes of the estimated financial statements and are categorised by ‘decisions made but not yet allocated’ and ‘funding not allocated to specific purposes’.</w:t>
      </w:r>
      <w:r w:rsidR="00BF4C77">
        <w:rPr>
          <w:rStyle w:val="FootnoteReference"/>
          <w:rFonts w:eastAsia="Calibri"/>
          <w:lang w:eastAsia="en-US"/>
        </w:rPr>
        <w:footnoteReference w:id="26"/>
      </w:r>
      <w:r w:rsidR="00F53DCA">
        <w:rPr>
          <w:rFonts w:eastAsia="Calibri"/>
          <w:lang w:eastAsia="en-US"/>
        </w:rPr>
        <w:t xml:space="preserve"> Treasurer’s Advance may form a part of the central </w:t>
      </w:r>
      <w:r w:rsidR="00F53DCA" w:rsidRPr="00AE4478">
        <w:rPr>
          <w:rFonts w:eastAsia="Calibri"/>
          <w:lang w:eastAsia="en-US"/>
        </w:rPr>
        <w:t>contingencies</w:t>
      </w:r>
      <w:r w:rsidR="00F53DCA">
        <w:rPr>
          <w:rFonts w:eastAsia="Calibri"/>
          <w:lang w:eastAsia="en-US"/>
        </w:rPr>
        <w:t>.</w:t>
      </w:r>
    </w:p>
    <w:p w14:paraId="325BD95D" w14:textId="77777777" w:rsidR="00EF65D6" w:rsidRPr="00402C76" w:rsidRDefault="00EF65D6" w:rsidP="000B672C">
      <w:pPr>
        <w:pStyle w:val="Heading3indent"/>
      </w:pPr>
      <w:r w:rsidRPr="00402C76">
        <w:t>Application and assessment process</w:t>
      </w:r>
    </w:p>
    <w:p w14:paraId="52E59B17" w14:textId="00E84019" w:rsidR="00A6340E" w:rsidRDefault="00A6340E" w:rsidP="00A6340E">
      <w:pPr>
        <w:pStyle w:val="NormalIndent"/>
        <w:rPr>
          <w:rFonts w:eastAsia="Calibri"/>
          <w:lang w:eastAsia="en-US"/>
        </w:rPr>
      </w:pPr>
      <w:r>
        <w:rPr>
          <w:rFonts w:eastAsia="Calibri"/>
          <w:lang w:eastAsia="en-US"/>
        </w:rPr>
        <w:t xml:space="preserve">A Minister is required to submit a request to the Treasurer or relevant </w:t>
      </w:r>
      <w:r w:rsidR="00E37B75">
        <w:rPr>
          <w:rFonts w:eastAsia="Calibri"/>
          <w:lang w:eastAsia="en-US"/>
        </w:rPr>
        <w:t>C</w:t>
      </w:r>
      <w:r>
        <w:rPr>
          <w:rFonts w:eastAsia="Calibri"/>
          <w:lang w:eastAsia="en-US"/>
        </w:rPr>
        <w:t xml:space="preserve">abinet committee to request release of budget </w:t>
      </w:r>
      <w:r w:rsidRPr="00AE4478">
        <w:rPr>
          <w:rFonts w:eastAsia="Calibri"/>
          <w:lang w:eastAsia="en-US"/>
        </w:rPr>
        <w:t>funding for a specific project, initiative or policy that i</w:t>
      </w:r>
      <w:r>
        <w:rPr>
          <w:rFonts w:eastAsia="Calibri"/>
          <w:lang w:eastAsia="en-US"/>
        </w:rPr>
        <w:t>s held in a central contingency.</w:t>
      </w:r>
    </w:p>
    <w:p w14:paraId="4D7BA7B5" w14:textId="68EFA571" w:rsidR="00A6340E" w:rsidRDefault="00F53DCA" w:rsidP="00A6340E">
      <w:pPr>
        <w:pStyle w:val="NormalIndent"/>
        <w:rPr>
          <w:rFonts w:eastAsia="Calibri"/>
          <w:lang w:eastAsia="en-US"/>
        </w:rPr>
      </w:pPr>
      <w:r>
        <w:rPr>
          <w:rFonts w:eastAsia="Calibri"/>
          <w:lang w:eastAsia="en-US"/>
        </w:rPr>
        <w:t>A</w:t>
      </w:r>
      <w:r w:rsidR="00EF65D6" w:rsidRPr="00EF65D6">
        <w:rPr>
          <w:rFonts w:eastAsia="Calibri"/>
          <w:lang w:eastAsia="en-US"/>
        </w:rPr>
        <w:t xml:space="preserve">dvice is provided </w:t>
      </w:r>
      <w:r>
        <w:rPr>
          <w:rFonts w:eastAsia="Calibri"/>
          <w:lang w:eastAsia="en-US"/>
        </w:rPr>
        <w:t xml:space="preserve">by DTF </w:t>
      </w:r>
      <w:r w:rsidR="00EF65D6" w:rsidRPr="00EF65D6">
        <w:rPr>
          <w:rFonts w:eastAsia="Calibri"/>
          <w:lang w:eastAsia="en-US"/>
        </w:rPr>
        <w:t>to the Treasurer</w:t>
      </w:r>
      <w:r w:rsidR="00EF65D6">
        <w:rPr>
          <w:rFonts w:eastAsia="Calibri"/>
          <w:lang w:eastAsia="en-US"/>
        </w:rPr>
        <w:t xml:space="preserve"> or the relevant </w:t>
      </w:r>
      <w:r w:rsidR="00E37B75">
        <w:rPr>
          <w:rFonts w:eastAsia="Calibri"/>
          <w:lang w:eastAsia="en-US"/>
        </w:rPr>
        <w:t>C</w:t>
      </w:r>
      <w:r w:rsidR="00EF65D6">
        <w:rPr>
          <w:rFonts w:eastAsia="Calibri"/>
          <w:lang w:eastAsia="en-US"/>
        </w:rPr>
        <w:t>abinet committee, who</w:t>
      </w:r>
      <w:r w:rsidR="00A6340E" w:rsidRPr="00AE4478">
        <w:rPr>
          <w:rFonts w:eastAsia="Calibri"/>
          <w:lang w:eastAsia="en-US"/>
        </w:rPr>
        <w:t xml:space="preserve"> </w:t>
      </w:r>
      <w:r w:rsidR="00A6340E">
        <w:rPr>
          <w:rFonts w:eastAsia="Calibri"/>
          <w:lang w:eastAsia="en-US"/>
        </w:rPr>
        <w:t xml:space="preserve">will </w:t>
      </w:r>
      <w:r w:rsidR="00A6340E" w:rsidRPr="00AE4478">
        <w:rPr>
          <w:rFonts w:eastAsia="Calibri"/>
          <w:lang w:eastAsia="en-US"/>
        </w:rPr>
        <w:t xml:space="preserve">decide whether to approve the release of the central </w:t>
      </w:r>
      <w:r w:rsidR="00A6340E">
        <w:rPr>
          <w:rFonts w:eastAsia="Calibri"/>
          <w:lang w:eastAsia="en-US"/>
        </w:rPr>
        <w:t>contingency to the Minister</w:t>
      </w:r>
      <w:r w:rsidR="00A6340E" w:rsidRPr="00AE4478">
        <w:rPr>
          <w:rFonts w:eastAsia="Calibri"/>
          <w:lang w:eastAsia="en-US"/>
        </w:rPr>
        <w:t>.</w:t>
      </w:r>
    </w:p>
    <w:p w14:paraId="0C9A9823" w14:textId="77777777" w:rsidR="00F53DCA" w:rsidRPr="00402C76" w:rsidRDefault="00F53DCA" w:rsidP="00B47296">
      <w:pPr>
        <w:pStyle w:val="Heading3indent"/>
      </w:pPr>
      <w:r w:rsidRPr="00402C76">
        <w:t>Approval notification</w:t>
      </w:r>
    </w:p>
    <w:p w14:paraId="0ADF02D0" w14:textId="3893B991" w:rsidR="00F53DCA" w:rsidRPr="00402C76" w:rsidRDefault="00F53DCA" w:rsidP="00F53DCA">
      <w:pPr>
        <w:spacing w:line="252" w:lineRule="auto"/>
        <w:ind w:left="792"/>
      </w:pPr>
      <w:r w:rsidRPr="00402C76">
        <w:t>Department</w:t>
      </w:r>
      <w:r w:rsidR="00F845E8">
        <w:t xml:space="preserve">s shall be advised </w:t>
      </w:r>
      <w:r>
        <w:t>if the release from the central contingency is approved.</w:t>
      </w:r>
    </w:p>
    <w:p w14:paraId="48A48ECC" w14:textId="77777777" w:rsidR="0020228A" w:rsidRPr="00402C76" w:rsidRDefault="0020228A" w:rsidP="00B47296">
      <w:pPr>
        <w:pStyle w:val="Heading3indent"/>
      </w:pPr>
      <w:r w:rsidRPr="00402C76">
        <w:t>Reporting</w:t>
      </w:r>
    </w:p>
    <w:p w14:paraId="6C070E16" w14:textId="3377BFE3" w:rsidR="0020228A" w:rsidRPr="00402C76" w:rsidRDefault="0020228A" w:rsidP="0020228A">
      <w:pPr>
        <w:spacing w:line="252" w:lineRule="auto"/>
        <w:ind w:left="792"/>
      </w:pPr>
      <w:r w:rsidRPr="00402C76">
        <w:t xml:space="preserve">Accountability for use of the </w:t>
      </w:r>
      <w:r>
        <w:t>TA</w:t>
      </w:r>
      <w:r w:rsidR="00A333E8">
        <w:t>,</w:t>
      </w:r>
      <w:r w:rsidRPr="00402C76">
        <w:t xml:space="preserve"> </w:t>
      </w:r>
      <w:r w:rsidR="00F53DCA">
        <w:t>within the context of the central contingencies</w:t>
      </w:r>
      <w:r w:rsidR="00A333E8">
        <w:t>,</w:t>
      </w:r>
      <w:r w:rsidR="00F53DCA">
        <w:t xml:space="preserve"> </w:t>
      </w:r>
      <w:r w:rsidRPr="00402C76">
        <w:t>is also met through the presentation of a summary of each year’s expenditure in the State’s Annual Financial Report which is tabled in the Parliament after the end of each financial year.</w:t>
      </w:r>
    </w:p>
    <w:p w14:paraId="57E2EE74" w14:textId="77777777" w:rsidR="0020228A" w:rsidRPr="00AE4478" w:rsidRDefault="0020228A" w:rsidP="00A6340E">
      <w:pPr>
        <w:pStyle w:val="NormalIndent"/>
        <w:rPr>
          <w:rFonts w:eastAsia="Calibri"/>
          <w:lang w:eastAsia="en-US"/>
        </w:rPr>
      </w:pPr>
    </w:p>
    <w:p w14:paraId="70921DFA" w14:textId="77777777" w:rsidR="00A6340E" w:rsidRDefault="00A6340E">
      <w:pPr>
        <w:spacing w:before="0" w:after="200"/>
        <w:rPr>
          <w:rFonts w:asciiTheme="majorHAnsi" w:eastAsiaTheme="majorEastAsia" w:hAnsiTheme="majorHAnsi" w:cstheme="majorBidi"/>
          <w:b/>
          <w:bCs/>
          <w:color w:val="201547"/>
          <w:spacing w:val="-1"/>
          <w:sz w:val="36"/>
          <w:szCs w:val="28"/>
        </w:rPr>
      </w:pPr>
      <w:r>
        <w:br w:type="page"/>
      </w:r>
    </w:p>
    <w:p w14:paraId="0A960574" w14:textId="50D75985" w:rsidR="00DC461F" w:rsidRDefault="00DC461F" w:rsidP="005E23AD">
      <w:pPr>
        <w:pStyle w:val="Heading1numbered"/>
      </w:pPr>
      <w:bookmarkStart w:id="511" w:name="_Toc476658151"/>
      <w:r w:rsidRPr="006C2540">
        <w:lastRenderedPageBreak/>
        <w:t xml:space="preserve">Concepts and mechanisms underpinning </w:t>
      </w:r>
      <w:r w:rsidR="00311042">
        <w:t>budget and financial</w:t>
      </w:r>
      <w:r w:rsidRPr="006C2540">
        <w:t xml:space="preserve"> management</w:t>
      </w:r>
      <w:bookmarkEnd w:id="511"/>
      <w:r w:rsidRPr="006C2540">
        <w:t xml:space="preserve"> </w:t>
      </w:r>
    </w:p>
    <w:p w14:paraId="385BE6B1" w14:textId="4CAAE041" w:rsidR="000F010F" w:rsidRDefault="000F010F" w:rsidP="00696C7D">
      <w:pPr>
        <w:pStyle w:val="Heading2numbered"/>
      </w:pPr>
      <w:bookmarkStart w:id="512" w:name="_Toc476658152"/>
      <w:r>
        <w:t>The State Administration Unit</w:t>
      </w:r>
      <w:bookmarkEnd w:id="512"/>
      <w:r w:rsidR="006E192A">
        <w:t xml:space="preserve"> </w:t>
      </w:r>
    </w:p>
    <w:p w14:paraId="38ADECF1" w14:textId="5269FAC0" w:rsidR="002F61BA" w:rsidRDefault="002F61BA" w:rsidP="000B672C">
      <w:pPr>
        <w:pStyle w:val="Heading3indent"/>
      </w:pPr>
      <w:r>
        <w:t xml:space="preserve">What is the </w:t>
      </w:r>
      <w:r w:rsidR="00E37B75">
        <w:t>State Administration Unit</w:t>
      </w:r>
      <w:r>
        <w:t>?</w:t>
      </w:r>
      <w:bookmarkEnd w:id="342"/>
    </w:p>
    <w:p w14:paraId="0367AED3" w14:textId="0B85E211" w:rsidR="006E192A" w:rsidRDefault="002F61BA" w:rsidP="00816278">
      <w:pPr>
        <w:pStyle w:val="NormalIndent"/>
      </w:pPr>
      <w:r w:rsidRPr="00816278">
        <w:t xml:space="preserve">The </w:t>
      </w:r>
      <w:r w:rsidR="006E192A">
        <w:t xml:space="preserve">concept of the </w:t>
      </w:r>
      <w:r w:rsidRPr="00816278">
        <w:t>State Administration Unit (SAU) was developed with the introduction of accrual output budgeti</w:t>
      </w:r>
      <w:r w:rsidR="006E192A">
        <w:t xml:space="preserve">ng and management in the </w:t>
      </w:r>
      <w:r w:rsidR="003B4E31">
        <w:t xml:space="preserve">late </w:t>
      </w:r>
      <w:r w:rsidR="006E192A">
        <w:t>1990s.</w:t>
      </w:r>
    </w:p>
    <w:p w14:paraId="3BAA7CE4" w14:textId="77777777" w:rsidR="006E192A" w:rsidRDefault="006E192A" w:rsidP="00816278">
      <w:pPr>
        <w:pStyle w:val="NormalIndent"/>
      </w:pPr>
      <w:r>
        <w:t xml:space="preserve">The SAU was set up </w:t>
      </w:r>
      <w:r w:rsidR="005C2BC9">
        <w:t>for the following purposes</w:t>
      </w:r>
      <w:r>
        <w:t>:</w:t>
      </w:r>
    </w:p>
    <w:p w14:paraId="1685FF10" w14:textId="77777777" w:rsidR="006E192A" w:rsidRDefault="006E192A" w:rsidP="006E192A">
      <w:pPr>
        <w:pStyle w:val="Bulletindent"/>
        <w:rPr>
          <w:lang w:eastAsia="en-US"/>
        </w:rPr>
      </w:pPr>
      <w:r>
        <w:rPr>
          <w:lang w:eastAsia="en-US"/>
        </w:rPr>
        <w:t>as</w:t>
      </w:r>
      <w:r w:rsidRPr="00FB5F88">
        <w:rPr>
          <w:lang w:eastAsia="en-US"/>
        </w:rPr>
        <w:t xml:space="preserve"> a</w:t>
      </w:r>
      <w:r>
        <w:rPr>
          <w:lang w:eastAsia="en-US"/>
        </w:rPr>
        <w:t>n accounting</w:t>
      </w:r>
      <w:r w:rsidRPr="00FB5F88">
        <w:rPr>
          <w:lang w:eastAsia="en-US"/>
        </w:rPr>
        <w:t xml:space="preserve"> mech</w:t>
      </w:r>
      <w:r>
        <w:rPr>
          <w:lang w:eastAsia="en-US"/>
        </w:rPr>
        <w:t xml:space="preserve">anism for </w:t>
      </w:r>
      <w:r w:rsidR="00311042">
        <w:rPr>
          <w:lang w:eastAsia="en-US"/>
        </w:rPr>
        <w:t xml:space="preserve">capturing and </w:t>
      </w:r>
      <w:r>
        <w:rPr>
          <w:lang w:eastAsia="en-US"/>
        </w:rPr>
        <w:t>recording transaction flows</w:t>
      </w:r>
      <w:r w:rsidRPr="00FB5F88">
        <w:rPr>
          <w:lang w:eastAsia="en-US"/>
        </w:rPr>
        <w:t xml:space="preserve"> and balances </w:t>
      </w:r>
      <w:r>
        <w:rPr>
          <w:lang w:eastAsia="en-US"/>
        </w:rPr>
        <w:t>in the Public Account; and</w:t>
      </w:r>
    </w:p>
    <w:p w14:paraId="2D96C030" w14:textId="77777777" w:rsidR="006E192A" w:rsidRDefault="006E192A" w:rsidP="006E192A">
      <w:pPr>
        <w:pStyle w:val="Bulletindent"/>
        <w:rPr>
          <w:lang w:eastAsia="en-US"/>
        </w:rPr>
      </w:pPr>
      <w:r>
        <w:rPr>
          <w:lang w:eastAsia="en-US"/>
        </w:rPr>
        <w:t xml:space="preserve">a means of capturing certain </w:t>
      </w:r>
      <w:r w:rsidRPr="00FB5F88">
        <w:rPr>
          <w:lang w:eastAsia="en-US"/>
        </w:rPr>
        <w:t xml:space="preserve">relationships </w:t>
      </w:r>
      <w:r>
        <w:rPr>
          <w:lang w:eastAsia="en-US"/>
        </w:rPr>
        <w:t xml:space="preserve">and balances </w:t>
      </w:r>
      <w:r w:rsidRPr="00FB5F88">
        <w:rPr>
          <w:lang w:eastAsia="en-US"/>
        </w:rPr>
        <w:t>between the Government</w:t>
      </w:r>
      <w:r>
        <w:rPr>
          <w:lang w:eastAsia="en-US"/>
        </w:rPr>
        <w:t xml:space="preserve"> (with DTF as the ‘corporate head office’)</w:t>
      </w:r>
      <w:r w:rsidRPr="00FB5F88">
        <w:rPr>
          <w:lang w:eastAsia="en-US"/>
        </w:rPr>
        <w:t xml:space="preserve"> and </w:t>
      </w:r>
      <w:r>
        <w:rPr>
          <w:lang w:eastAsia="en-US"/>
        </w:rPr>
        <w:t>D</w:t>
      </w:r>
      <w:r w:rsidRPr="00FB5F88">
        <w:rPr>
          <w:lang w:eastAsia="en-US"/>
        </w:rPr>
        <w:t>epartments</w:t>
      </w:r>
      <w:r>
        <w:rPr>
          <w:lang w:eastAsia="en-US"/>
        </w:rPr>
        <w:t xml:space="preserve"> (such as Contributed Capital balances). </w:t>
      </w:r>
    </w:p>
    <w:p w14:paraId="0B57ADD5" w14:textId="77777777" w:rsidR="002F61BA" w:rsidRDefault="00AC21AD" w:rsidP="00816278">
      <w:pPr>
        <w:pStyle w:val="NormalIndent"/>
      </w:pPr>
      <w:r>
        <w:rPr>
          <w:lang w:eastAsia="en-US"/>
        </w:rPr>
        <w:t xml:space="preserve">Note </w:t>
      </w:r>
      <w:r w:rsidR="00311042">
        <w:rPr>
          <w:lang w:eastAsia="en-US"/>
        </w:rPr>
        <w:t xml:space="preserve">the SAU </w:t>
      </w:r>
      <w:r w:rsidR="00311042" w:rsidRPr="00E51DFC">
        <w:rPr>
          <w:lang w:eastAsia="en-US"/>
        </w:rPr>
        <w:t>is not a separate legal entity</w:t>
      </w:r>
      <w:r w:rsidR="00311042">
        <w:rPr>
          <w:lang w:eastAsia="en-US"/>
        </w:rPr>
        <w:t xml:space="preserve"> in its own right.</w:t>
      </w:r>
    </w:p>
    <w:p w14:paraId="3DB4874A" w14:textId="119ABB48" w:rsidR="006E192A" w:rsidRDefault="006E192A" w:rsidP="000B672C">
      <w:pPr>
        <w:pStyle w:val="Heading3indent"/>
      </w:pPr>
      <w:bookmarkStart w:id="513" w:name="_Toc446079420"/>
      <w:r>
        <w:t xml:space="preserve">The components of the </w:t>
      </w:r>
      <w:r w:rsidR="008A0CDF">
        <w:t>State Administration Unit</w:t>
      </w:r>
      <w:bookmarkEnd w:id="513"/>
    </w:p>
    <w:p w14:paraId="51B70397" w14:textId="77777777" w:rsidR="006E192A" w:rsidRDefault="006E192A" w:rsidP="006E192A">
      <w:pPr>
        <w:pStyle w:val="NormalIndent"/>
        <w:rPr>
          <w:lang w:eastAsia="en-US"/>
        </w:rPr>
      </w:pPr>
      <w:r>
        <w:rPr>
          <w:lang w:eastAsia="en-US"/>
        </w:rPr>
        <w:t xml:space="preserve">The SAU consists of three </w:t>
      </w:r>
      <w:r w:rsidR="00311042">
        <w:rPr>
          <w:lang w:eastAsia="en-US"/>
        </w:rPr>
        <w:t>components</w:t>
      </w:r>
      <w:r>
        <w:rPr>
          <w:lang w:eastAsia="en-US"/>
        </w:rPr>
        <w:t>:</w:t>
      </w:r>
    </w:p>
    <w:p w14:paraId="75118C4C" w14:textId="04AFFE8B" w:rsidR="006E192A" w:rsidRDefault="006E192A" w:rsidP="00056F4E">
      <w:pPr>
        <w:pStyle w:val="Numparaindent"/>
        <w:rPr>
          <w:lang w:eastAsia="en-US"/>
        </w:rPr>
      </w:pPr>
      <w:r>
        <w:rPr>
          <w:lang w:eastAsia="en-US"/>
        </w:rPr>
        <w:t xml:space="preserve">SAU </w:t>
      </w:r>
      <w:r w:rsidR="008A0CDF">
        <w:rPr>
          <w:lang w:eastAsia="en-US"/>
        </w:rPr>
        <w:t>i</w:t>
      </w:r>
      <w:r>
        <w:rPr>
          <w:lang w:eastAsia="en-US"/>
        </w:rPr>
        <w:t>nter-entity account</w:t>
      </w:r>
      <w:r w:rsidR="003B4E31">
        <w:rPr>
          <w:lang w:eastAsia="en-US"/>
        </w:rPr>
        <w:t>s</w:t>
      </w:r>
      <w:r>
        <w:rPr>
          <w:lang w:eastAsia="en-US"/>
        </w:rPr>
        <w:t>;</w:t>
      </w:r>
    </w:p>
    <w:p w14:paraId="3D4034A6" w14:textId="6EC4C37B" w:rsidR="006E192A" w:rsidRDefault="006E192A" w:rsidP="00056F4E">
      <w:pPr>
        <w:pStyle w:val="Numparaindent"/>
        <w:rPr>
          <w:lang w:eastAsia="en-US"/>
        </w:rPr>
      </w:pPr>
      <w:r>
        <w:rPr>
          <w:lang w:eastAsia="en-US"/>
        </w:rPr>
        <w:t xml:space="preserve">SAU branch ledger; and </w:t>
      </w:r>
    </w:p>
    <w:p w14:paraId="633093A7" w14:textId="0D8C2D3D" w:rsidR="006E192A" w:rsidRDefault="006E192A" w:rsidP="00056F4E">
      <w:pPr>
        <w:pStyle w:val="Numparaindent"/>
        <w:rPr>
          <w:lang w:eastAsia="en-US"/>
        </w:rPr>
      </w:pPr>
      <w:r>
        <w:rPr>
          <w:lang w:eastAsia="en-US"/>
        </w:rPr>
        <w:t>SAU head office/central component.</w:t>
      </w:r>
    </w:p>
    <w:p w14:paraId="4F2948DD" w14:textId="77777777" w:rsidR="00056F4E" w:rsidRDefault="00056F4E" w:rsidP="00056F4E">
      <w:pPr>
        <w:pStyle w:val="Spacer"/>
        <w:rPr>
          <w:lang w:eastAsia="en-US"/>
        </w:rPr>
      </w:pPr>
    </w:p>
    <w:p w14:paraId="599D5538" w14:textId="36E84B36" w:rsidR="00311042" w:rsidRDefault="005C2BC9" w:rsidP="00311042">
      <w:pPr>
        <w:pStyle w:val="Heading5"/>
      </w:pPr>
      <w:r>
        <w:t xml:space="preserve">1. </w:t>
      </w:r>
      <w:r w:rsidR="00056F4E">
        <w:tab/>
      </w:r>
      <w:r w:rsidR="00311042">
        <w:t>The SAU inter-entity account</w:t>
      </w:r>
      <w:r w:rsidR="003B4E31">
        <w:t>(s)</w:t>
      </w:r>
    </w:p>
    <w:p w14:paraId="03DB203C" w14:textId="77777777" w:rsidR="00311042" w:rsidRDefault="00311042" w:rsidP="00056F4E">
      <w:pPr>
        <w:pStyle w:val="NormalIndent2"/>
        <w:rPr>
          <w:lang w:eastAsia="en-US"/>
        </w:rPr>
      </w:pPr>
      <w:r>
        <w:rPr>
          <w:lang w:eastAsia="en-US"/>
        </w:rPr>
        <w:t>This SAU component is most relevant to Departments.</w:t>
      </w:r>
    </w:p>
    <w:p w14:paraId="08705DF0" w14:textId="45C93E5F" w:rsidR="00311042" w:rsidRDefault="003B4E31" w:rsidP="00056F4E">
      <w:pPr>
        <w:pStyle w:val="NormalIndent2"/>
        <w:rPr>
          <w:lang w:eastAsia="en-US"/>
        </w:rPr>
      </w:pPr>
      <w:r>
        <w:rPr>
          <w:lang w:eastAsia="en-US"/>
        </w:rPr>
        <w:t>The</w:t>
      </w:r>
      <w:r w:rsidR="00D93C7A">
        <w:rPr>
          <w:lang w:eastAsia="en-US"/>
        </w:rPr>
        <w:t xml:space="preserve"> SAU</w:t>
      </w:r>
      <w:r>
        <w:rPr>
          <w:lang w:eastAsia="en-US"/>
        </w:rPr>
        <w:t xml:space="preserve"> inter-entity </w:t>
      </w:r>
      <w:r w:rsidR="00311042">
        <w:rPr>
          <w:lang w:eastAsia="en-US"/>
        </w:rPr>
        <w:t xml:space="preserve">account comprises each Department’s </w:t>
      </w:r>
      <w:r w:rsidR="00311042" w:rsidRPr="00021353">
        <w:rPr>
          <w:b/>
          <w:lang w:eastAsia="en-US"/>
        </w:rPr>
        <w:t>appropriated</w:t>
      </w:r>
      <w:r w:rsidR="00311042">
        <w:rPr>
          <w:lang w:eastAsia="en-US"/>
        </w:rPr>
        <w:t xml:space="preserve"> but </w:t>
      </w:r>
      <w:r w:rsidR="00311042" w:rsidRPr="000C67E3">
        <w:rPr>
          <w:b/>
          <w:lang w:eastAsia="en-US"/>
        </w:rPr>
        <w:t>unspent</w:t>
      </w:r>
      <w:r w:rsidR="00452EB7">
        <w:rPr>
          <w:b/>
          <w:lang w:eastAsia="en-US"/>
        </w:rPr>
        <w:t xml:space="preserve"> (not yet drawn down)</w:t>
      </w:r>
      <w:r w:rsidR="00311042" w:rsidRPr="000C67E3">
        <w:rPr>
          <w:lang w:eastAsia="en-US"/>
        </w:rPr>
        <w:t xml:space="preserve"> funds</w:t>
      </w:r>
      <w:r w:rsidR="00311042">
        <w:rPr>
          <w:lang w:eastAsia="en-US"/>
        </w:rPr>
        <w:t xml:space="preserve"> that are available to it </w:t>
      </w:r>
      <w:r w:rsidR="005C2BC9">
        <w:rPr>
          <w:lang w:eastAsia="en-US"/>
        </w:rPr>
        <w:t xml:space="preserve">in the Public Account, sourced from </w:t>
      </w:r>
      <w:r w:rsidR="00311042">
        <w:rPr>
          <w:lang w:eastAsia="en-US"/>
        </w:rPr>
        <w:t>non-cash expenditure (such as depreciation and long-service leave)</w:t>
      </w:r>
      <w:r w:rsidR="007A6E36">
        <w:rPr>
          <w:lang w:eastAsia="en-US"/>
        </w:rPr>
        <w:t xml:space="preserve"> or </w:t>
      </w:r>
      <w:r>
        <w:rPr>
          <w:lang w:eastAsia="en-US"/>
        </w:rPr>
        <w:t xml:space="preserve">liabilities for </w:t>
      </w:r>
      <w:r w:rsidR="007A6E36">
        <w:rPr>
          <w:lang w:eastAsia="en-US"/>
        </w:rPr>
        <w:t>expenditure not yet paid for i.e. accrued expenses</w:t>
      </w:r>
      <w:r w:rsidR="00311042">
        <w:rPr>
          <w:lang w:eastAsia="en-US"/>
        </w:rPr>
        <w:t>.</w:t>
      </w:r>
    </w:p>
    <w:p w14:paraId="59D0863F" w14:textId="400E83A0" w:rsidR="00311042" w:rsidRDefault="00452EB7" w:rsidP="00056F4E">
      <w:pPr>
        <w:pStyle w:val="NormalIndent2"/>
        <w:rPr>
          <w:lang w:eastAsia="en-US"/>
        </w:rPr>
      </w:pPr>
      <w:r>
        <w:rPr>
          <w:lang w:eastAsia="en-US"/>
        </w:rPr>
        <w:t>In the State’s ledger t</w:t>
      </w:r>
      <w:r w:rsidR="00311042">
        <w:rPr>
          <w:lang w:eastAsia="en-US"/>
        </w:rPr>
        <w:t xml:space="preserve">he SAU inter-entity </w:t>
      </w:r>
      <w:r w:rsidR="003B4E31">
        <w:rPr>
          <w:lang w:eastAsia="en-US"/>
        </w:rPr>
        <w:t>transactions are effected through</w:t>
      </w:r>
      <w:r>
        <w:rPr>
          <w:lang w:eastAsia="en-US"/>
        </w:rPr>
        <w:t xml:space="preserve"> </w:t>
      </w:r>
      <w:r w:rsidR="00311042">
        <w:rPr>
          <w:lang w:eastAsia="en-US"/>
        </w:rPr>
        <w:t>three receivable</w:t>
      </w:r>
      <w:r w:rsidR="003B4E31">
        <w:rPr>
          <w:lang w:eastAsia="en-US"/>
        </w:rPr>
        <w:t>s</w:t>
      </w:r>
      <w:r w:rsidR="00311042">
        <w:rPr>
          <w:lang w:eastAsia="en-US"/>
        </w:rPr>
        <w:t xml:space="preserve"> accounts:</w:t>
      </w:r>
    </w:p>
    <w:p w14:paraId="2FBAF25C" w14:textId="77777777" w:rsidR="00311042" w:rsidRDefault="00311042" w:rsidP="00056F4E">
      <w:pPr>
        <w:pStyle w:val="Bulletindent"/>
        <w:tabs>
          <w:tab w:val="clear" w:pos="1152"/>
          <w:tab w:val="num" w:pos="1800"/>
        </w:tabs>
        <w:ind w:left="1800"/>
      </w:pPr>
      <w:r>
        <w:t xml:space="preserve">Account 45000 – </w:t>
      </w:r>
      <w:r w:rsidRPr="00744109">
        <w:t>SAU Inter-Entity</w:t>
      </w:r>
      <w:r>
        <w:t xml:space="preserve"> (Consolidated Fund);</w:t>
      </w:r>
    </w:p>
    <w:p w14:paraId="31F0743C" w14:textId="77777777" w:rsidR="00311042" w:rsidRDefault="00311042" w:rsidP="00056F4E">
      <w:pPr>
        <w:pStyle w:val="Bulletindent"/>
        <w:tabs>
          <w:tab w:val="clear" w:pos="1152"/>
          <w:tab w:val="num" w:pos="1800"/>
        </w:tabs>
        <w:ind w:left="1800"/>
      </w:pPr>
      <w:r>
        <w:t xml:space="preserve">Account 45500 – </w:t>
      </w:r>
      <w:r w:rsidRPr="00744109">
        <w:t>Trust Fund Inter-Entity</w:t>
      </w:r>
      <w:r>
        <w:t xml:space="preserve"> (Trust Fund); and</w:t>
      </w:r>
    </w:p>
    <w:p w14:paraId="70A80034" w14:textId="77777777" w:rsidR="00311042" w:rsidRDefault="00311042" w:rsidP="00056F4E">
      <w:pPr>
        <w:pStyle w:val="Bulletindent"/>
        <w:tabs>
          <w:tab w:val="clear" w:pos="1152"/>
          <w:tab w:val="num" w:pos="1800"/>
        </w:tabs>
        <w:ind w:left="1800"/>
      </w:pPr>
      <w:r>
        <w:t xml:space="preserve">Account 46000 – </w:t>
      </w:r>
      <w:r w:rsidRPr="00744109">
        <w:t>Public Account Advances FMA</w:t>
      </w:r>
      <w:r>
        <w:t>.</w:t>
      </w:r>
    </w:p>
    <w:p w14:paraId="781CC5FF" w14:textId="77777777" w:rsidR="00311042" w:rsidRDefault="00311042" w:rsidP="00056F4E">
      <w:pPr>
        <w:pStyle w:val="NormalIndent2"/>
        <w:rPr>
          <w:lang w:eastAsia="en-US"/>
        </w:rPr>
      </w:pPr>
      <w:r>
        <w:rPr>
          <w:lang w:eastAsia="en-US"/>
        </w:rPr>
        <w:t xml:space="preserve">These accounts </w:t>
      </w:r>
      <w:r w:rsidR="00452EB7">
        <w:rPr>
          <w:lang w:eastAsia="en-US"/>
        </w:rPr>
        <w:t xml:space="preserve">are used </w:t>
      </w:r>
      <w:r>
        <w:rPr>
          <w:lang w:eastAsia="en-US"/>
        </w:rPr>
        <w:t xml:space="preserve">in each Department’s </w:t>
      </w:r>
      <w:r w:rsidRPr="008B0CC7">
        <w:rPr>
          <w:b/>
          <w:lang w:eastAsia="en-US"/>
        </w:rPr>
        <w:t>controlled</w:t>
      </w:r>
      <w:r>
        <w:rPr>
          <w:lang w:eastAsia="en-US"/>
        </w:rPr>
        <w:t xml:space="preserve"> entity.</w:t>
      </w:r>
    </w:p>
    <w:p w14:paraId="42D11815" w14:textId="636EED13" w:rsidR="0015047B" w:rsidRDefault="00311042" w:rsidP="00056F4E">
      <w:pPr>
        <w:pStyle w:val="NormalIndent2"/>
        <w:rPr>
          <w:lang w:eastAsia="en-US"/>
        </w:rPr>
      </w:pPr>
      <w:r>
        <w:rPr>
          <w:lang w:eastAsia="en-US"/>
        </w:rPr>
        <w:t xml:space="preserve">Departments </w:t>
      </w:r>
      <w:r w:rsidR="00452EB7">
        <w:rPr>
          <w:lang w:eastAsia="en-US"/>
        </w:rPr>
        <w:t xml:space="preserve">are required to </w:t>
      </w:r>
      <w:r>
        <w:rPr>
          <w:lang w:eastAsia="en-US"/>
        </w:rPr>
        <w:t>submit a quarter</w:t>
      </w:r>
      <w:r w:rsidR="005C2BC9">
        <w:rPr>
          <w:lang w:eastAsia="en-US"/>
        </w:rPr>
        <w:t>ly dissection report to DTF</w:t>
      </w:r>
      <w:r>
        <w:rPr>
          <w:lang w:eastAsia="en-US"/>
        </w:rPr>
        <w:t xml:space="preserve"> to explain </w:t>
      </w:r>
      <w:r w:rsidR="005C2BC9">
        <w:rPr>
          <w:lang w:eastAsia="en-US"/>
        </w:rPr>
        <w:t xml:space="preserve">the </w:t>
      </w:r>
      <w:r>
        <w:rPr>
          <w:lang w:eastAsia="en-US"/>
        </w:rPr>
        <w:t xml:space="preserve">movements </w:t>
      </w:r>
      <w:r w:rsidR="005C2BC9">
        <w:rPr>
          <w:lang w:eastAsia="en-US"/>
        </w:rPr>
        <w:t xml:space="preserve">and balances </w:t>
      </w:r>
      <w:r>
        <w:rPr>
          <w:lang w:eastAsia="en-US"/>
        </w:rPr>
        <w:t xml:space="preserve">in </w:t>
      </w:r>
      <w:r w:rsidR="00452EB7">
        <w:rPr>
          <w:lang w:eastAsia="en-US"/>
        </w:rPr>
        <w:t>its SAU inter-entity a</w:t>
      </w:r>
      <w:r>
        <w:rPr>
          <w:lang w:eastAsia="en-US"/>
        </w:rPr>
        <w:t>ccount</w:t>
      </w:r>
      <w:r w:rsidR="003B4E31">
        <w:rPr>
          <w:lang w:eastAsia="en-US"/>
        </w:rPr>
        <w:t>s</w:t>
      </w:r>
      <w:r>
        <w:rPr>
          <w:lang w:eastAsia="en-US"/>
        </w:rPr>
        <w:t xml:space="preserve"> (</w:t>
      </w:r>
      <w:r w:rsidR="003F0A08">
        <w:rPr>
          <w:lang w:eastAsia="en-US"/>
        </w:rPr>
        <w:t>refer to</w:t>
      </w:r>
      <w:r>
        <w:rPr>
          <w:lang w:eastAsia="en-US"/>
        </w:rPr>
        <w:t xml:space="preserve"> </w:t>
      </w:r>
      <w:r w:rsidR="003F0A08">
        <w:rPr>
          <w:lang w:eastAsia="en-US"/>
        </w:rPr>
        <w:t>S</w:t>
      </w:r>
      <w:r w:rsidRPr="00B91B56">
        <w:rPr>
          <w:lang w:eastAsia="en-US"/>
        </w:rPr>
        <w:t xml:space="preserve">ection </w:t>
      </w:r>
      <w:r w:rsidR="00B91B56" w:rsidRPr="00B91B56">
        <w:rPr>
          <w:lang w:eastAsia="en-US"/>
        </w:rPr>
        <w:t>5</w:t>
      </w:r>
      <w:r w:rsidRPr="00B91B56">
        <w:rPr>
          <w:lang w:eastAsia="en-US"/>
        </w:rPr>
        <w:t>.</w:t>
      </w:r>
      <w:r w:rsidR="00B91B56" w:rsidRPr="00B91B56">
        <w:rPr>
          <w:lang w:eastAsia="en-US"/>
        </w:rPr>
        <w:t>2</w:t>
      </w:r>
      <w:r w:rsidRPr="00B91B56">
        <w:rPr>
          <w:lang w:eastAsia="en-US"/>
        </w:rPr>
        <w:t xml:space="preserve"> for</w:t>
      </w:r>
      <w:r>
        <w:rPr>
          <w:lang w:eastAsia="en-US"/>
        </w:rPr>
        <w:t xml:space="preserve"> more information).</w:t>
      </w:r>
    </w:p>
    <w:p w14:paraId="7768D4A5" w14:textId="77777777" w:rsidR="00056F4E" w:rsidRDefault="00056F4E">
      <w:pPr>
        <w:spacing w:before="0" w:after="200"/>
        <w:rPr>
          <w:b/>
          <w:color w:val="0063A6" w:themeColor="accent1"/>
        </w:rPr>
      </w:pPr>
      <w:r>
        <w:br w:type="page"/>
      </w:r>
    </w:p>
    <w:p w14:paraId="1A977A1A" w14:textId="25DBAC2C" w:rsidR="00452EB7" w:rsidRDefault="00452EB7" w:rsidP="00452EB7">
      <w:pPr>
        <w:pStyle w:val="Heading5"/>
      </w:pPr>
      <w:r>
        <w:lastRenderedPageBreak/>
        <w:t xml:space="preserve">2. </w:t>
      </w:r>
      <w:r w:rsidR="00056F4E">
        <w:tab/>
      </w:r>
      <w:r>
        <w:t>The SAU branch ledger</w:t>
      </w:r>
    </w:p>
    <w:p w14:paraId="4033EF0B" w14:textId="77777777" w:rsidR="00452EB7" w:rsidRDefault="00452EB7" w:rsidP="00056F4E">
      <w:pPr>
        <w:pStyle w:val="NormalIndent2"/>
        <w:rPr>
          <w:lang w:eastAsia="en-US"/>
        </w:rPr>
      </w:pPr>
      <w:r>
        <w:rPr>
          <w:lang w:eastAsia="en-US"/>
        </w:rPr>
        <w:t xml:space="preserve">This SAU </w:t>
      </w:r>
      <w:r w:rsidR="00E14B2B">
        <w:rPr>
          <w:lang w:eastAsia="en-US"/>
        </w:rPr>
        <w:t xml:space="preserve">component </w:t>
      </w:r>
      <w:r>
        <w:rPr>
          <w:lang w:eastAsia="en-US"/>
        </w:rPr>
        <w:t>records the administered t</w:t>
      </w:r>
      <w:r w:rsidR="00AD10B3">
        <w:rPr>
          <w:lang w:eastAsia="en-US"/>
        </w:rPr>
        <w:t xml:space="preserve">ransactions of each Department, such </w:t>
      </w:r>
      <w:r>
        <w:rPr>
          <w:lang w:eastAsia="en-US"/>
        </w:rPr>
        <w:t>as:</w:t>
      </w:r>
    </w:p>
    <w:p w14:paraId="7E2B75DF" w14:textId="3189DE53" w:rsidR="000C0E4D" w:rsidRDefault="003F0A08" w:rsidP="00056F4E">
      <w:pPr>
        <w:pStyle w:val="Bulletindent"/>
        <w:tabs>
          <w:tab w:val="clear" w:pos="1152"/>
          <w:tab w:val="num" w:pos="1800"/>
        </w:tabs>
        <w:ind w:left="1800"/>
        <w:rPr>
          <w:lang w:eastAsia="en-US"/>
        </w:rPr>
      </w:pPr>
      <w:r>
        <w:rPr>
          <w:lang w:eastAsia="en-US"/>
        </w:rPr>
        <w:t>p</w:t>
      </w:r>
      <w:r w:rsidR="00452EB7">
        <w:rPr>
          <w:lang w:eastAsia="en-US"/>
        </w:rPr>
        <w:t>ayments on behalf of the State (</w:t>
      </w:r>
      <w:r w:rsidR="003B4E31">
        <w:rPr>
          <w:lang w:eastAsia="en-US"/>
        </w:rPr>
        <w:t xml:space="preserve">various amounts in the annual Appropriation Act or </w:t>
      </w:r>
      <w:r w:rsidR="00452EB7">
        <w:rPr>
          <w:lang w:eastAsia="en-US"/>
        </w:rPr>
        <w:t xml:space="preserve">grants on-passed </w:t>
      </w:r>
      <w:r w:rsidR="000C0E4D">
        <w:rPr>
          <w:lang w:eastAsia="en-US"/>
        </w:rPr>
        <w:t xml:space="preserve">through the trust fund </w:t>
      </w:r>
      <w:r w:rsidR="00452EB7">
        <w:rPr>
          <w:lang w:eastAsia="en-US"/>
        </w:rPr>
        <w:t>from the Commonwealth to an entity outside of Victorian Government);</w:t>
      </w:r>
    </w:p>
    <w:p w14:paraId="2366614C" w14:textId="1122E9A0" w:rsidR="00452EB7" w:rsidRDefault="000C0E4D" w:rsidP="00056F4E">
      <w:pPr>
        <w:pStyle w:val="Bulletindent"/>
        <w:tabs>
          <w:tab w:val="clear" w:pos="1152"/>
          <w:tab w:val="num" w:pos="1800"/>
        </w:tabs>
        <w:ind w:left="1800"/>
        <w:rPr>
          <w:lang w:eastAsia="en-US"/>
        </w:rPr>
      </w:pPr>
      <w:r>
        <w:rPr>
          <w:lang w:eastAsia="en-US"/>
        </w:rPr>
        <w:t xml:space="preserve">the amount invested by </w:t>
      </w:r>
      <w:r w:rsidR="003F0A08">
        <w:rPr>
          <w:lang w:eastAsia="en-US"/>
        </w:rPr>
        <w:t>g</w:t>
      </w:r>
      <w:r>
        <w:rPr>
          <w:lang w:eastAsia="en-US"/>
        </w:rPr>
        <w:t xml:space="preserve">overnment in its controlled entities </w:t>
      </w:r>
      <w:r w:rsidR="00D93C7A">
        <w:rPr>
          <w:lang w:eastAsia="en-US"/>
        </w:rPr>
        <w:t>(</w:t>
      </w:r>
      <w:r>
        <w:rPr>
          <w:lang w:eastAsia="en-US"/>
        </w:rPr>
        <w:t xml:space="preserve">other than </w:t>
      </w:r>
      <w:r w:rsidR="00D93C7A">
        <w:rPr>
          <w:lang w:eastAsia="en-US"/>
        </w:rPr>
        <w:t xml:space="preserve">the core </w:t>
      </w:r>
      <w:r>
        <w:rPr>
          <w:lang w:eastAsia="en-US"/>
        </w:rPr>
        <w:t>Departments</w:t>
      </w:r>
      <w:r w:rsidR="00D93C7A">
        <w:rPr>
          <w:lang w:eastAsia="en-US"/>
        </w:rPr>
        <w:t>)</w:t>
      </w:r>
      <w:r>
        <w:rPr>
          <w:lang w:eastAsia="en-US"/>
        </w:rPr>
        <w:t>;</w:t>
      </w:r>
      <w:r w:rsidR="00CF0AF5">
        <w:rPr>
          <w:lang w:eastAsia="en-US"/>
        </w:rPr>
        <w:t xml:space="preserve"> </w:t>
      </w:r>
      <w:r w:rsidR="00452EB7">
        <w:rPr>
          <w:lang w:eastAsia="en-US"/>
        </w:rPr>
        <w:t>and</w:t>
      </w:r>
    </w:p>
    <w:p w14:paraId="29AF7475" w14:textId="7C925898" w:rsidR="00452EB7" w:rsidRDefault="00B91B56" w:rsidP="00056F4E">
      <w:pPr>
        <w:pStyle w:val="Bulletindent"/>
        <w:tabs>
          <w:tab w:val="clear" w:pos="1152"/>
          <w:tab w:val="num" w:pos="1800"/>
        </w:tabs>
        <w:ind w:left="1800"/>
        <w:rPr>
          <w:lang w:eastAsia="en-US"/>
        </w:rPr>
      </w:pPr>
      <w:r>
        <w:rPr>
          <w:lang w:eastAsia="en-US"/>
        </w:rPr>
        <w:t>r</w:t>
      </w:r>
      <w:r w:rsidR="00452EB7">
        <w:rPr>
          <w:lang w:eastAsia="en-US"/>
        </w:rPr>
        <w:t xml:space="preserve">evenue </w:t>
      </w:r>
      <w:r w:rsidR="00AD10B3">
        <w:rPr>
          <w:lang w:eastAsia="en-US"/>
        </w:rPr>
        <w:t xml:space="preserve">received on behalf of the State and </w:t>
      </w:r>
      <w:r w:rsidR="00452EB7">
        <w:rPr>
          <w:lang w:eastAsia="en-US"/>
        </w:rPr>
        <w:t xml:space="preserve">paid to </w:t>
      </w:r>
      <w:r w:rsidR="003F0A08">
        <w:rPr>
          <w:lang w:eastAsia="en-US"/>
        </w:rPr>
        <w:t>a c</w:t>
      </w:r>
      <w:r w:rsidR="00452EB7">
        <w:rPr>
          <w:lang w:eastAsia="en-US"/>
        </w:rPr>
        <w:t xml:space="preserve">entral </w:t>
      </w:r>
      <w:r w:rsidR="003F0A08">
        <w:rPr>
          <w:lang w:eastAsia="en-US"/>
        </w:rPr>
        <w:t>a</w:t>
      </w:r>
      <w:r w:rsidR="00452EB7">
        <w:rPr>
          <w:lang w:eastAsia="en-US"/>
        </w:rPr>
        <w:t>gency (such as taxes</w:t>
      </w:r>
      <w:r w:rsidR="00AD10B3">
        <w:rPr>
          <w:lang w:eastAsia="en-US"/>
        </w:rPr>
        <w:t xml:space="preserve"> revenue</w:t>
      </w:r>
      <w:r w:rsidR="00452EB7">
        <w:rPr>
          <w:lang w:eastAsia="en-US"/>
        </w:rPr>
        <w:t>).</w:t>
      </w:r>
    </w:p>
    <w:p w14:paraId="4B1369CB" w14:textId="77777777" w:rsidR="00452EB7" w:rsidRDefault="00AD10B3" w:rsidP="00056F4E">
      <w:pPr>
        <w:pStyle w:val="NormalIndent2"/>
        <w:rPr>
          <w:lang w:eastAsia="en-US"/>
        </w:rPr>
      </w:pPr>
      <w:r>
        <w:rPr>
          <w:lang w:eastAsia="en-US"/>
        </w:rPr>
        <w:t>In the State’s ledger, t</w:t>
      </w:r>
      <w:r w:rsidR="00452EB7">
        <w:rPr>
          <w:lang w:eastAsia="en-US"/>
        </w:rPr>
        <w:t>he SAU branch ledger is represented in Department’s accounts by the x100 entity in each Department.</w:t>
      </w:r>
    </w:p>
    <w:p w14:paraId="42CE80EA" w14:textId="1E58C925" w:rsidR="00AD10B3" w:rsidRDefault="00AD10B3" w:rsidP="00AD10B3">
      <w:pPr>
        <w:pStyle w:val="Heading5"/>
      </w:pPr>
      <w:r>
        <w:t xml:space="preserve">3. </w:t>
      </w:r>
      <w:r w:rsidR="00056F4E">
        <w:tab/>
      </w:r>
      <w:r>
        <w:t>The SAU head office/central agency component</w:t>
      </w:r>
    </w:p>
    <w:p w14:paraId="073467A1" w14:textId="155DBA54" w:rsidR="00AD10B3" w:rsidRDefault="00AD10B3" w:rsidP="00056F4E">
      <w:pPr>
        <w:pStyle w:val="NormalIndent2"/>
        <w:rPr>
          <w:lang w:eastAsia="en-US"/>
        </w:rPr>
      </w:pPr>
      <w:r>
        <w:rPr>
          <w:lang w:eastAsia="en-US"/>
        </w:rPr>
        <w:t xml:space="preserve">This SAU component records the transactional flows between Departments and the Public Account. It may also record transactions </w:t>
      </w:r>
      <w:r w:rsidR="003F0A08">
        <w:rPr>
          <w:lang w:eastAsia="en-US"/>
        </w:rPr>
        <w:t>that</w:t>
      </w:r>
      <w:r>
        <w:rPr>
          <w:lang w:eastAsia="en-US"/>
        </w:rPr>
        <w:t xml:space="preserve"> do not functionally or operationally belong to a particular Department.</w:t>
      </w:r>
    </w:p>
    <w:p w14:paraId="00783E12" w14:textId="364E65F7" w:rsidR="00AD10B3" w:rsidRPr="00DA17EF" w:rsidRDefault="00AD10B3" w:rsidP="00056F4E">
      <w:pPr>
        <w:pStyle w:val="NormalIndent2"/>
        <w:rPr>
          <w:lang w:eastAsia="en-US"/>
        </w:rPr>
      </w:pPr>
      <w:r>
        <w:rPr>
          <w:lang w:eastAsia="en-US"/>
        </w:rPr>
        <w:t xml:space="preserve">In the State’s ledger, this component of the SAU is represented by the </w:t>
      </w:r>
      <w:r w:rsidRPr="007A10E4">
        <w:rPr>
          <w:lang w:eastAsia="en-US"/>
        </w:rPr>
        <w:t xml:space="preserve">entity 9200 </w:t>
      </w:r>
      <w:r>
        <w:rPr>
          <w:lang w:eastAsia="en-US"/>
        </w:rPr>
        <w:t>‘</w:t>
      </w:r>
      <w:r w:rsidRPr="007A10E4">
        <w:rPr>
          <w:lang w:eastAsia="en-US"/>
        </w:rPr>
        <w:t>State Administration Unit</w:t>
      </w:r>
      <w:r>
        <w:rPr>
          <w:lang w:eastAsia="en-US"/>
        </w:rPr>
        <w:t>’</w:t>
      </w:r>
      <w:r w:rsidRPr="007A10E4">
        <w:rPr>
          <w:lang w:eastAsia="en-US"/>
        </w:rPr>
        <w:t xml:space="preserve">. </w:t>
      </w:r>
      <w:r>
        <w:rPr>
          <w:lang w:eastAsia="en-US"/>
        </w:rPr>
        <w:t xml:space="preserve">This component is visible to, and maintained centrally by DTF. Departments are </w:t>
      </w:r>
      <w:r w:rsidR="000C0E4D">
        <w:rPr>
          <w:lang w:eastAsia="en-US"/>
        </w:rPr>
        <w:t>generally not involved in</w:t>
      </w:r>
      <w:r>
        <w:rPr>
          <w:lang w:eastAsia="en-US"/>
        </w:rPr>
        <w:t xml:space="preserve"> the workings of this component of the SAU.</w:t>
      </w:r>
    </w:p>
    <w:p w14:paraId="1FF1DCF5" w14:textId="77777777" w:rsidR="002F61BA" w:rsidRDefault="002F61BA" w:rsidP="00056F4E">
      <w:pPr>
        <w:pStyle w:val="NormalIndent2"/>
      </w:pPr>
      <w:r>
        <w:t xml:space="preserve">The three components of the SAU are </w:t>
      </w:r>
      <w:r w:rsidR="00AD10B3">
        <w:t xml:space="preserve">also </w:t>
      </w:r>
      <w:r>
        <w:t xml:space="preserve">represented </w:t>
      </w:r>
      <w:r w:rsidR="00AD10B3">
        <w:t>diagrammatically</w:t>
      </w:r>
      <w:r>
        <w:t xml:space="preserve"> below:</w:t>
      </w:r>
    </w:p>
    <w:p w14:paraId="1CB66120" w14:textId="77777777" w:rsidR="002F61BA" w:rsidRDefault="002F61BA" w:rsidP="00056F4E">
      <w:pPr>
        <w:pStyle w:val="NormalIndent2"/>
        <w:rPr>
          <w:lang w:eastAsia="en-US"/>
        </w:rPr>
      </w:pPr>
      <w:r w:rsidRPr="0079509A">
        <w:rPr>
          <w:noProof/>
        </w:rPr>
        <mc:AlternateContent>
          <mc:Choice Requires="wpg">
            <w:drawing>
              <wp:inline distT="0" distB="0" distL="0" distR="0" wp14:anchorId="06508406" wp14:editId="120CBA22">
                <wp:extent cx="5018227" cy="3543808"/>
                <wp:effectExtent l="0" t="0" r="11430" b="38100"/>
                <wp:docPr id="9" name="Group 90"/>
                <wp:cNvGraphicFramePr/>
                <a:graphic xmlns:a="http://schemas.openxmlformats.org/drawingml/2006/main">
                  <a:graphicData uri="http://schemas.microsoft.com/office/word/2010/wordprocessingGroup">
                    <wpg:wgp>
                      <wpg:cNvGrpSpPr/>
                      <wpg:grpSpPr>
                        <a:xfrm>
                          <a:off x="0" y="0"/>
                          <a:ext cx="5018227" cy="3543808"/>
                          <a:chOff x="-1" y="-50755"/>
                          <a:chExt cx="5015169" cy="3540670"/>
                        </a:xfrm>
                      </wpg:grpSpPr>
                      <wps:wsp>
                        <wps:cNvPr id="10" name="Rectangle 10"/>
                        <wps:cNvSpPr/>
                        <wps:spPr>
                          <a:xfrm>
                            <a:off x="7694" y="1388085"/>
                            <a:ext cx="4991026" cy="305278"/>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690F4F" w14:textId="77777777" w:rsidR="002536F9" w:rsidRDefault="002536F9" w:rsidP="002F61BA">
                              <w:pPr>
                                <w:pStyle w:val="NormalWeb"/>
                                <w:spacing w:before="0" w:beforeAutospacing="0" w:after="0" w:afterAutospacing="0"/>
                                <w:jc w:val="center"/>
                              </w:pPr>
                              <w:r>
                                <w:rPr>
                                  <w:rFonts w:ascii="Arial" w:hAnsi="Arial" w:cstheme="minorBidi"/>
                                  <w:b/>
                                  <w:bCs/>
                                  <w:color w:val="FFFFFF" w:themeColor="background1"/>
                                  <w:kern w:val="24"/>
                                  <w:sz w:val="22"/>
                                  <w:szCs w:val="22"/>
                                </w:rPr>
                                <w:t>1. SAU inter-entity accounts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a:spLocks noChangeArrowheads="1"/>
                        </wps:cNvSpPr>
                        <wps:spPr bwMode="auto">
                          <a:xfrm>
                            <a:off x="16447" y="-50755"/>
                            <a:ext cx="4998720" cy="1388085"/>
                          </a:xfrm>
                          <a:prstGeom prst="rect">
                            <a:avLst/>
                          </a:prstGeom>
                          <a:solidFill>
                            <a:schemeClr val="accent3">
                              <a:lumMod val="20000"/>
                              <a:lumOff val="80000"/>
                            </a:schemeClr>
                          </a:solidFill>
                          <a:ln>
                            <a:noFill/>
                          </a:ln>
                          <a:effectLst/>
                          <a:extLst/>
                        </wps:spPr>
                        <wps:bodyPr wrap="none" anchor="ctr"/>
                      </wps:wsp>
                      <wps:wsp>
                        <wps:cNvPr id="19" name="Rectangle 19"/>
                        <wps:cNvSpPr>
                          <a:spLocks noChangeArrowheads="1"/>
                        </wps:cNvSpPr>
                        <wps:spPr bwMode="auto">
                          <a:xfrm>
                            <a:off x="-1" y="1692873"/>
                            <a:ext cx="5015169" cy="1485853"/>
                          </a:xfrm>
                          <a:prstGeom prst="rect">
                            <a:avLst/>
                          </a:prstGeom>
                          <a:solidFill>
                            <a:schemeClr val="accent3">
                              <a:lumMod val="40000"/>
                              <a:lumOff val="60000"/>
                            </a:schemeClr>
                          </a:solidFill>
                          <a:ln>
                            <a:noFill/>
                          </a:ln>
                          <a:effectLst/>
                          <a:extLst/>
                        </wps:spPr>
                        <wps:bodyPr wrap="none" anchor="ctr"/>
                      </wps:wsp>
                      <wps:wsp>
                        <wps:cNvPr id="19712" name="Rectangle 19712"/>
                        <wps:cNvSpPr/>
                        <wps:spPr>
                          <a:xfrm>
                            <a:off x="1535795" y="88210"/>
                            <a:ext cx="1767205" cy="252095"/>
                          </a:xfrm>
                          <a:prstGeom prst="rect">
                            <a:avLst/>
                          </a:prstGeom>
                        </wps:spPr>
                        <wps:txbx>
                          <w:txbxContent>
                            <w:p w14:paraId="5DCFFB9B" w14:textId="77777777" w:rsidR="002536F9" w:rsidRDefault="002536F9" w:rsidP="002F61BA">
                              <w:pPr>
                                <w:pStyle w:val="NormalWeb"/>
                                <w:spacing w:before="0" w:beforeAutospacing="0" w:after="0" w:afterAutospacing="0"/>
                                <w:textAlignment w:val="baseline"/>
                              </w:pPr>
                              <w:r>
                                <w:rPr>
                                  <w:rFonts w:ascii="Arial" w:hAnsi="Arial" w:cstheme="minorBidi"/>
                                  <w:b/>
                                  <w:bCs/>
                                  <w:color w:val="0063A6" w:themeColor="accent1"/>
                                  <w:kern w:val="24"/>
                                  <w:sz w:val="22"/>
                                  <w:szCs w:val="22"/>
                                </w:rPr>
                                <w:t>3. SAU – central agency</w:t>
                              </w:r>
                            </w:p>
                          </w:txbxContent>
                        </wps:txbx>
                        <wps:bodyPr wrap="none">
                          <a:spAutoFit/>
                        </wps:bodyPr>
                      </wps:wsp>
                      <wps:wsp>
                        <wps:cNvPr id="19713" name="Rectangle 19713"/>
                        <wps:cNvSpPr/>
                        <wps:spPr>
                          <a:xfrm rot="16200000">
                            <a:off x="-382797" y="635305"/>
                            <a:ext cx="1002665" cy="222885"/>
                          </a:xfrm>
                          <a:prstGeom prst="rect">
                            <a:avLst/>
                          </a:prstGeom>
                        </wps:spPr>
                        <wps:txbx>
                          <w:txbxContent>
                            <w:p w14:paraId="4C8A116C" w14:textId="77777777" w:rsidR="002536F9" w:rsidRDefault="002536F9" w:rsidP="002F61BA">
                              <w:pPr>
                                <w:pStyle w:val="NormalWeb"/>
                                <w:spacing w:before="0" w:beforeAutospacing="0" w:after="0" w:afterAutospacing="0"/>
                              </w:pPr>
                              <w:r>
                                <w:rPr>
                                  <w:rFonts w:asciiTheme="majorHAnsi" w:hAnsi="Arial" w:cstheme="minorBidi"/>
                                  <w:b/>
                                  <w:bCs/>
                                  <w:color w:val="000000"/>
                                  <w:kern w:val="24"/>
                                  <w:sz w:val="18"/>
                                  <w:szCs w:val="18"/>
                                </w:rPr>
                                <w:t>GOVERNMENT</w:t>
                              </w:r>
                            </w:p>
                          </w:txbxContent>
                        </wps:txbx>
                        <wps:bodyPr wrap="none">
                          <a:spAutoFit/>
                        </wps:bodyPr>
                      </wps:wsp>
                      <wps:wsp>
                        <wps:cNvPr id="19714" name="Rectangle 19714"/>
                        <wps:cNvSpPr/>
                        <wps:spPr>
                          <a:xfrm rot="16200000">
                            <a:off x="-330683" y="2289654"/>
                            <a:ext cx="976630" cy="222885"/>
                          </a:xfrm>
                          <a:prstGeom prst="rect">
                            <a:avLst/>
                          </a:prstGeom>
                        </wps:spPr>
                        <wps:txbx>
                          <w:txbxContent>
                            <w:p w14:paraId="7C982988" w14:textId="77777777" w:rsidR="002536F9" w:rsidRDefault="002536F9" w:rsidP="002F61BA">
                              <w:pPr>
                                <w:pStyle w:val="NormalWeb"/>
                                <w:spacing w:before="0" w:beforeAutospacing="0" w:after="0" w:afterAutospacing="0"/>
                              </w:pPr>
                              <w:r>
                                <w:rPr>
                                  <w:rFonts w:asciiTheme="majorHAnsi" w:hAnsi="Arial" w:cstheme="minorBidi"/>
                                  <w:b/>
                                  <w:bCs/>
                                  <w:color w:val="000000"/>
                                  <w:kern w:val="24"/>
                                  <w:sz w:val="18"/>
                                  <w:szCs w:val="18"/>
                                </w:rPr>
                                <w:t>DEPARTMENT</w:t>
                              </w:r>
                            </w:p>
                          </w:txbxContent>
                        </wps:txbx>
                        <wps:bodyPr wrap="none">
                          <a:spAutoFit/>
                        </wps:bodyPr>
                      </wps:wsp>
                      <wps:wsp>
                        <wps:cNvPr id="19715" name="Rectangle 19715"/>
                        <wps:cNvSpPr>
                          <a:spLocks noChangeArrowheads="1"/>
                        </wps:cNvSpPr>
                        <wps:spPr bwMode="auto">
                          <a:xfrm>
                            <a:off x="532899" y="2134630"/>
                            <a:ext cx="1781994" cy="87362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9852B6" w14:textId="77777777" w:rsidR="002536F9" w:rsidRPr="00A13839" w:rsidRDefault="002536F9" w:rsidP="002F61BA">
                              <w:pPr>
                                <w:pStyle w:val="Bullet1"/>
                                <w:rPr>
                                  <w:sz w:val="18"/>
                                  <w:szCs w:val="18"/>
                                </w:rPr>
                              </w:pPr>
                              <w:r w:rsidRPr="00A13839">
                                <w:rPr>
                                  <w:sz w:val="18"/>
                                  <w:szCs w:val="18"/>
                                </w:rPr>
                                <w:t>Purchase of outputs</w:t>
                              </w:r>
                            </w:p>
                            <w:p w14:paraId="6AA9E1B6" w14:textId="77777777" w:rsidR="002536F9" w:rsidRPr="00A13839" w:rsidRDefault="002536F9" w:rsidP="002F61BA">
                              <w:pPr>
                                <w:pStyle w:val="Bullet1"/>
                                <w:rPr>
                                  <w:sz w:val="18"/>
                                  <w:szCs w:val="18"/>
                                </w:rPr>
                              </w:pPr>
                              <w:r w:rsidRPr="00A13839">
                                <w:rPr>
                                  <w:sz w:val="18"/>
                                  <w:szCs w:val="18"/>
                                </w:rPr>
                                <w:t>Additions to net assets</w:t>
                              </w:r>
                            </w:p>
                            <w:p w14:paraId="1244FBE8" w14:textId="77777777" w:rsidR="002536F9" w:rsidRPr="00A13839" w:rsidRDefault="002536F9" w:rsidP="002F61BA">
                              <w:pPr>
                                <w:pStyle w:val="Bullet1"/>
                                <w:rPr>
                                  <w:sz w:val="18"/>
                                  <w:szCs w:val="18"/>
                                </w:rPr>
                              </w:pPr>
                              <w:r w:rsidRPr="00A13839">
                                <w:rPr>
                                  <w:sz w:val="18"/>
                                  <w:szCs w:val="18"/>
                                </w:rPr>
                                <w:t>Cash draw downs</w:t>
                              </w:r>
                            </w:p>
                            <w:p w14:paraId="7B809F43" w14:textId="77777777" w:rsidR="002536F9" w:rsidRPr="00A13839" w:rsidRDefault="002536F9" w:rsidP="002F61BA">
                              <w:pPr>
                                <w:pStyle w:val="Bullet1"/>
                                <w:rPr>
                                  <w:sz w:val="18"/>
                                  <w:szCs w:val="18"/>
                                </w:rPr>
                              </w:pPr>
                              <w:r w:rsidRPr="00A13839">
                                <w:rPr>
                                  <w:sz w:val="18"/>
                                  <w:szCs w:val="18"/>
                                </w:rPr>
                                <w:t xml:space="preserve">Accrued expenses </w:t>
                              </w:r>
                            </w:p>
                          </w:txbxContent>
                        </wps:txbx>
                        <wps:bodyPr wrap="square" lIns="90488" tIns="44450" rIns="90488" bIns="44450">
                          <a:spAutoFit/>
                        </wps:bodyPr>
                      </wps:wsp>
                      <wps:wsp>
                        <wps:cNvPr id="19716" name="Rectangle 19716"/>
                        <wps:cNvSpPr>
                          <a:spLocks noChangeArrowheads="1"/>
                        </wps:cNvSpPr>
                        <wps:spPr bwMode="auto">
                          <a:xfrm>
                            <a:off x="2920521" y="2135252"/>
                            <a:ext cx="1986974" cy="67631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A315847" w14:textId="7C37DADB" w:rsidR="002536F9" w:rsidRPr="00A13839" w:rsidRDefault="002536F9" w:rsidP="002F61BA">
                              <w:pPr>
                                <w:pStyle w:val="Bullet1"/>
                                <w:rPr>
                                  <w:sz w:val="18"/>
                                  <w:szCs w:val="18"/>
                                </w:rPr>
                              </w:pPr>
                              <w:r w:rsidRPr="00A13839">
                                <w:rPr>
                                  <w:sz w:val="18"/>
                                  <w:szCs w:val="18"/>
                                  <w:lang w:val="en-US"/>
                                </w:rPr>
                                <w:t>Payments on Behalf of the State</w:t>
                              </w:r>
                              <w:r>
                                <w:rPr>
                                  <w:sz w:val="18"/>
                                  <w:szCs w:val="18"/>
                                  <w:lang w:val="en-US"/>
                                </w:rPr>
                                <w:t xml:space="preserve"> (POBOS)</w:t>
                              </w:r>
                            </w:p>
                            <w:p w14:paraId="021478DC" w14:textId="77777777" w:rsidR="002536F9" w:rsidRPr="00A13839" w:rsidRDefault="002536F9" w:rsidP="002F61BA">
                              <w:pPr>
                                <w:pStyle w:val="Bullet1"/>
                                <w:rPr>
                                  <w:sz w:val="18"/>
                                  <w:szCs w:val="18"/>
                                </w:rPr>
                              </w:pPr>
                              <w:r w:rsidRPr="00A13839">
                                <w:rPr>
                                  <w:sz w:val="18"/>
                                  <w:szCs w:val="18"/>
                                </w:rPr>
                                <w:t>Revenue to central agency</w:t>
                              </w:r>
                            </w:p>
                          </w:txbxContent>
                        </wps:txbx>
                        <wps:bodyPr wrap="square" lIns="90488" tIns="44450" rIns="90488" bIns="44450">
                          <a:spAutoFit/>
                        </wps:bodyPr>
                      </wps:wsp>
                      <wps:wsp>
                        <wps:cNvPr id="19717" name="Rectangle 19717"/>
                        <wps:cNvSpPr>
                          <a:spLocks noChangeArrowheads="1"/>
                        </wps:cNvSpPr>
                        <wps:spPr bwMode="auto">
                          <a:xfrm>
                            <a:off x="677301" y="3246980"/>
                            <a:ext cx="1247776" cy="2349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66F4C60" w14:textId="77777777" w:rsidR="002536F9" w:rsidRDefault="002536F9" w:rsidP="002F61BA">
                              <w:pPr>
                                <w:pStyle w:val="NormalWeb"/>
                                <w:spacing w:before="0" w:beforeAutospacing="0" w:after="0" w:afterAutospacing="0"/>
                                <w:jc w:val="center"/>
                                <w:textAlignment w:val="baseline"/>
                              </w:pPr>
                              <w:r>
                                <w:rPr>
                                  <w:rFonts w:asciiTheme="minorHAnsi" w:hAnsi="Arial" w:cstheme="minorBidi"/>
                                  <w:b/>
                                  <w:bCs/>
                                  <w:color w:val="005B99"/>
                                  <w:kern w:val="24"/>
                                  <w:sz w:val="20"/>
                                  <w:szCs w:val="20"/>
                                </w:rPr>
                                <w:t>CONTROLLED</w:t>
                              </w:r>
                            </w:p>
                          </w:txbxContent>
                        </wps:txbx>
                        <wps:bodyPr wrap="square" lIns="90488" tIns="44450" rIns="90488" bIns="44450">
                          <a:spAutoFit/>
                        </wps:bodyPr>
                      </wps:wsp>
                      <wps:wsp>
                        <wps:cNvPr id="19718" name="Rectangle 19718"/>
                        <wps:cNvSpPr>
                          <a:spLocks noChangeArrowheads="1"/>
                        </wps:cNvSpPr>
                        <wps:spPr bwMode="auto">
                          <a:xfrm>
                            <a:off x="3128194" y="3245708"/>
                            <a:ext cx="1369061" cy="2349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4132B1E" w14:textId="77777777" w:rsidR="002536F9" w:rsidRDefault="002536F9" w:rsidP="002F61BA">
                              <w:pPr>
                                <w:pStyle w:val="NormalWeb"/>
                                <w:spacing w:before="0" w:beforeAutospacing="0" w:after="0" w:afterAutospacing="0"/>
                                <w:jc w:val="center"/>
                                <w:textAlignment w:val="baseline"/>
                              </w:pPr>
                              <w:r>
                                <w:rPr>
                                  <w:rFonts w:asciiTheme="minorHAnsi" w:hAnsi="Arial" w:cstheme="minorBidi"/>
                                  <w:b/>
                                  <w:bCs/>
                                  <w:color w:val="8A2A2B" w:themeColor="accent6"/>
                                  <w:kern w:val="24"/>
                                  <w:sz w:val="20"/>
                                  <w:szCs w:val="20"/>
                                </w:rPr>
                                <w:t>ADMINISTERED</w:t>
                              </w:r>
                            </w:p>
                          </w:txbxContent>
                        </wps:txbx>
                        <wps:bodyPr wrap="square" lIns="90488" tIns="44450" rIns="90488" bIns="44450">
                          <a:spAutoFit/>
                        </wps:bodyPr>
                      </wps:wsp>
                      <wps:wsp>
                        <wps:cNvPr id="19719" name="Rectangle 19719"/>
                        <wps:cNvSpPr>
                          <a:spLocks noChangeArrowheads="1"/>
                        </wps:cNvSpPr>
                        <wps:spPr bwMode="auto">
                          <a:xfrm>
                            <a:off x="4036020" y="71203"/>
                            <a:ext cx="959252" cy="46803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59379D4" w14:textId="11E5CD16" w:rsidR="002536F9" w:rsidRDefault="002536F9" w:rsidP="002F61BA">
                              <w:pPr>
                                <w:pStyle w:val="NormalWeb"/>
                                <w:spacing w:before="0" w:beforeAutospacing="0" w:after="0" w:afterAutospacing="0"/>
                                <w:jc w:val="center"/>
                                <w:textAlignment w:val="baseline"/>
                              </w:pPr>
                              <w:r>
                                <w:rPr>
                                  <w:rFonts w:asciiTheme="minorHAnsi" w:hAnsi="Arial" w:cstheme="minorBidi"/>
                                  <w:b/>
                                  <w:bCs/>
                                  <w:color w:val="000000"/>
                                  <w:kern w:val="24"/>
                                  <w:sz w:val="20"/>
                                  <w:szCs w:val="20"/>
                                </w:rPr>
                                <w:t>‘Corporate’</w:t>
                              </w:r>
                            </w:p>
                            <w:p w14:paraId="15B58D90" w14:textId="77777777" w:rsidR="002536F9" w:rsidRDefault="002536F9" w:rsidP="002F61BA">
                              <w:pPr>
                                <w:pStyle w:val="NormalWeb"/>
                                <w:spacing w:before="0" w:beforeAutospacing="0" w:after="0" w:afterAutospacing="0"/>
                                <w:jc w:val="center"/>
                                <w:textAlignment w:val="baseline"/>
                              </w:pPr>
                              <w:r>
                                <w:rPr>
                                  <w:rFonts w:asciiTheme="minorHAnsi" w:hAnsi="Arial" w:cstheme="minorBidi"/>
                                  <w:b/>
                                  <w:bCs/>
                                  <w:color w:val="000000"/>
                                  <w:kern w:val="24"/>
                                  <w:sz w:val="20"/>
                                  <w:szCs w:val="20"/>
                                </w:rPr>
                                <w:t>DTF</w:t>
                              </w:r>
                            </w:p>
                          </w:txbxContent>
                        </wps:txbx>
                        <wps:bodyPr wrap="square" lIns="90488" tIns="44450" rIns="90488" bIns="44450">
                          <a:noAutofit/>
                        </wps:bodyPr>
                      </wps:wsp>
                      <wps:wsp>
                        <wps:cNvPr id="19720" name="Rectangle 19720"/>
                        <wps:cNvSpPr/>
                        <wps:spPr>
                          <a:xfrm>
                            <a:off x="2781627" y="1823878"/>
                            <a:ext cx="1254760" cy="219710"/>
                          </a:xfrm>
                          <a:prstGeom prst="rect">
                            <a:avLst/>
                          </a:prstGeom>
                        </wps:spPr>
                        <wps:txbx>
                          <w:txbxContent>
                            <w:p w14:paraId="57D89402" w14:textId="77777777" w:rsidR="002536F9" w:rsidRDefault="002536F9" w:rsidP="002F61BA">
                              <w:pPr>
                                <w:pStyle w:val="NormalWeb"/>
                                <w:spacing w:before="0" w:beforeAutospacing="0" w:after="0" w:afterAutospacing="0" w:line="192" w:lineRule="auto"/>
                                <w:jc w:val="center"/>
                                <w:textAlignment w:val="baseline"/>
                              </w:pPr>
                              <w:r>
                                <w:rPr>
                                  <w:rFonts w:asciiTheme="majorHAnsi" w:hAnsi="Arial" w:cstheme="minorBidi"/>
                                  <w:b/>
                                  <w:bCs/>
                                  <w:color w:val="005B99"/>
                                  <w:kern w:val="24"/>
                                  <w:sz w:val="22"/>
                                  <w:szCs w:val="22"/>
                                </w:rPr>
                                <w:t>2. SAU – branch</w:t>
                              </w:r>
                            </w:p>
                          </w:txbxContent>
                        </wps:txbx>
                        <wps:bodyPr wrap="none">
                          <a:spAutoFit/>
                        </wps:bodyPr>
                      </wps:wsp>
                      <wps:wsp>
                        <wps:cNvPr id="19721" name="Straight Connector 19721"/>
                        <wps:cNvCnPr/>
                        <wps:spPr>
                          <a:xfrm flipV="1">
                            <a:off x="853440" y="1568316"/>
                            <a:ext cx="0" cy="510540"/>
                          </a:xfrm>
                          <a:prstGeom prst="line">
                            <a:avLst/>
                          </a:prstGeom>
                          <a:ln w="38100">
                            <a:solidFill>
                              <a:schemeClr val="accent4">
                                <a:lumMod val="40000"/>
                                <a:lumOff val="60000"/>
                              </a:schemeClr>
                            </a:solidFill>
                            <a:headEnd type="none"/>
                            <a:tailEnd type="stealth" w="med" len="lg"/>
                          </a:ln>
                        </wps:spPr>
                        <wps:style>
                          <a:lnRef idx="1">
                            <a:schemeClr val="accent1"/>
                          </a:lnRef>
                          <a:fillRef idx="0">
                            <a:schemeClr val="accent1"/>
                          </a:fillRef>
                          <a:effectRef idx="0">
                            <a:schemeClr val="accent1"/>
                          </a:effectRef>
                          <a:fontRef idx="minor">
                            <a:schemeClr val="tx1"/>
                          </a:fontRef>
                        </wps:style>
                        <wps:bodyPr/>
                      </wps:wsp>
                      <wps:wsp>
                        <wps:cNvPr id="19722" name="Straight Connector 19722"/>
                        <wps:cNvCnPr/>
                        <wps:spPr>
                          <a:xfrm flipV="1">
                            <a:off x="4282440" y="1573079"/>
                            <a:ext cx="0" cy="510540"/>
                          </a:xfrm>
                          <a:prstGeom prst="line">
                            <a:avLst/>
                          </a:prstGeom>
                          <a:ln w="38100">
                            <a:solidFill>
                              <a:schemeClr val="accent6">
                                <a:lumMod val="60000"/>
                                <a:lumOff val="40000"/>
                              </a:schemeClr>
                            </a:solidFill>
                            <a:headEnd type="none"/>
                            <a:tailEnd type="stealth" w="med" len="lg"/>
                          </a:ln>
                        </wps:spPr>
                        <wps:style>
                          <a:lnRef idx="1">
                            <a:schemeClr val="accent1"/>
                          </a:lnRef>
                          <a:fillRef idx="0">
                            <a:schemeClr val="accent1"/>
                          </a:fillRef>
                          <a:effectRef idx="0">
                            <a:schemeClr val="accent1"/>
                          </a:effectRef>
                          <a:fontRef idx="minor">
                            <a:schemeClr val="tx1"/>
                          </a:fontRef>
                        </wps:style>
                        <wps:bodyPr/>
                      </wps:wsp>
                      <wps:wsp>
                        <wps:cNvPr id="19723" name="Straight Connector 19723"/>
                        <wps:cNvCnPr/>
                        <wps:spPr>
                          <a:xfrm flipV="1">
                            <a:off x="853440" y="931191"/>
                            <a:ext cx="0" cy="567696"/>
                          </a:xfrm>
                          <a:prstGeom prst="line">
                            <a:avLst/>
                          </a:prstGeom>
                          <a:ln w="38100">
                            <a:solidFill>
                              <a:schemeClr val="accent4">
                                <a:lumMod val="40000"/>
                                <a:lumOff val="60000"/>
                              </a:schemeClr>
                            </a:solidFill>
                            <a:headEnd type="stealth" w="med" len="lg"/>
                            <a:tailEnd type="none"/>
                          </a:ln>
                        </wps:spPr>
                        <wps:style>
                          <a:lnRef idx="1">
                            <a:schemeClr val="accent1"/>
                          </a:lnRef>
                          <a:fillRef idx="0">
                            <a:schemeClr val="accent1"/>
                          </a:fillRef>
                          <a:effectRef idx="0">
                            <a:schemeClr val="accent1"/>
                          </a:effectRef>
                          <a:fontRef idx="minor">
                            <a:schemeClr val="tx1"/>
                          </a:fontRef>
                        </wps:style>
                        <wps:bodyPr/>
                      </wps:wsp>
                      <wps:wsp>
                        <wps:cNvPr id="19724" name="Straight Connector 19724"/>
                        <wps:cNvCnPr/>
                        <wps:spPr>
                          <a:xfrm flipV="1">
                            <a:off x="4286096" y="931952"/>
                            <a:ext cx="0" cy="579120"/>
                          </a:xfrm>
                          <a:prstGeom prst="line">
                            <a:avLst/>
                          </a:prstGeom>
                          <a:ln w="38100">
                            <a:solidFill>
                              <a:schemeClr val="accent6">
                                <a:lumMod val="60000"/>
                                <a:lumOff val="40000"/>
                              </a:schemeClr>
                            </a:solidFill>
                            <a:headEnd type="stealth" w="med" len="lg"/>
                            <a:tailEnd type="none"/>
                          </a:ln>
                        </wps:spPr>
                        <wps:style>
                          <a:lnRef idx="1">
                            <a:schemeClr val="accent1"/>
                          </a:lnRef>
                          <a:fillRef idx="0">
                            <a:schemeClr val="accent1"/>
                          </a:fillRef>
                          <a:effectRef idx="0">
                            <a:schemeClr val="accent1"/>
                          </a:effectRef>
                          <a:fontRef idx="minor">
                            <a:schemeClr val="tx1"/>
                          </a:fontRef>
                        </wps:style>
                        <wps:bodyPr/>
                      </wps:wsp>
                      <wps:wsp>
                        <wps:cNvPr id="19725" name="Line 40"/>
                        <wps:cNvCnPr/>
                        <wps:spPr bwMode="auto">
                          <a:xfrm flipH="1">
                            <a:off x="2515689" y="1693363"/>
                            <a:ext cx="0" cy="1796552"/>
                          </a:xfrm>
                          <a:prstGeom prst="line">
                            <a:avLst/>
                          </a:prstGeom>
                          <a:noFill/>
                          <a:ln w="1905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9726" name="Oval 19726"/>
                        <wps:cNvSpPr/>
                        <wps:spPr>
                          <a:xfrm>
                            <a:off x="418677" y="420288"/>
                            <a:ext cx="1386000" cy="612000"/>
                          </a:xfrm>
                          <a:prstGeom prst="ellipse">
                            <a:avLst/>
                          </a:prstGeom>
                          <a:solidFill>
                            <a:schemeClr val="accent3">
                              <a:lumMod val="40000"/>
                              <a:lumOff val="60000"/>
                            </a:schemeClr>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2B565E" w14:textId="77777777" w:rsidR="002536F9" w:rsidRPr="00A13839" w:rsidRDefault="002536F9" w:rsidP="002F61BA">
                              <w:pPr>
                                <w:pStyle w:val="NormalWeb"/>
                                <w:spacing w:before="0" w:beforeAutospacing="0" w:after="0" w:afterAutospacing="0"/>
                                <w:jc w:val="center"/>
                                <w:rPr>
                                  <w:rFonts w:asciiTheme="minorHAnsi" w:hAnsiTheme="minorHAnsi" w:cstheme="minorHAnsi"/>
                                  <w:color w:val="000000" w:themeColor="text1"/>
                                </w:rPr>
                              </w:pPr>
                              <w:r w:rsidRPr="00A13839">
                                <w:rPr>
                                  <w:rFonts w:asciiTheme="minorHAnsi" w:hAnsiTheme="minorHAnsi" w:cstheme="minorHAnsi"/>
                                  <w:b/>
                                  <w:bCs/>
                                  <w:color w:val="000000" w:themeColor="text1"/>
                                  <w:kern w:val="24"/>
                                  <w:sz w:val="18"/>
                                  <w:szCs w:val="18"/>
                                </w:rPr>
                                <w:t>Banker</w:t>
                              </w:r>
                            </w:p>
                            <w:p w14:paraId="159D2081" w14:textId="77777777" w:rsidR="002536F9" w:rsidRPr="00A13839" w:rsidRDefault="002536F9" w:rsidP="002F61BA">
                              <w:pPr>
                                <w:pStyle w:val="NormalWeb"/>
                                <w:spacing w:before="0" w:beforeAutospacing="0" w:after="0" w:afterAutospacing="0"/>
                                <w:jc w:val="center"/>
                                <w:rPr>
                                  <w:rFonts w:asciiTheme="minorHAnsi" w:hAnsiTheme="minorHAnsi" w:cstheme="minorHAnsi"/>
                                  <w:color w:val="000000" w:themeColor="text1"/>
                                </w:rPr>
                              </w:pPr>
                              <w:r w:rsidRPr="00A13839">
                                <w:rPr>
                                  <w:rFonts w:asciiTheme="minorHAnsi" w:hAnsiTheme="minorHAnsi" w:cstheme="minorHAnsi"/>
                                  <w:b/>
                                  <w:bCs/>
                                  <w:color w:val="000000" w:themeColor="text1"/>
                                  <w:kern w:val="24"/>
                                  <w:sz w:val="18"/>
                                  <w:szCs w:val="18"/>
                                </w:rPr>
                                <w:t>Funder</w:t>
                              </w:r>
                            </w:p>
                            <w:p w14:paraId="47F4ABDC" w14:textId="77777777" w:rsidR="002536F9" w:rsidRPr="00A13839" w:rsidRDefault="002536F9" w:rsidP="002F61BA">
                              <w:pPr>
                                <w:pStyle w:val="NormalWeb"/>
                                <w:spacing w:before="0" w:beforeAutospacing="0" w:after="0" w:afterAutospacing="0"/>
                                <w:jc w:val="center"/>
                                <w:rPr>
                                  <w:rFonts w:asciiTheme="minorHAnsi" w:hAnsiTheme="minorHAnsi" w:cstheme="minorHAnsi"/>
                                  <w:color w:val="000000" w:themeColor="text1"/>
                                </w:rPr>
                              </w:pPr>
                              <w:r w:rsidRPr="00A13839">
                                <w:rPr>
                                  <w:rFonts w:asciiTheme="minorHAnsi" w:hAnsiTheme="minorHAnsi" w:cstheme="minorHAnsi"/>
                                  <w:b/>
                                  <w:bCs/>
                                  <w:color w:val="000000" w:themeColor="text1"/>
                                  <w:kern w:val="24"/>
                                  <w:sz w:val="18"/>
                                  <w:szCs w:val="18"/>
                                </w:rPr>
                                <w:t>Owner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731" name="Oval 19731"/>
                        <wps:cNvSpPr>
                          <a:spLocks noChangeArrowheads="1"/>
                        </wps:cNvSpPr>
                        <wps:spPr bwMode="auto">
                          <a:xfrm>
                            <a:off x="3120937" y="421640"/>
                            <a:ext cx="1566505" cy="601125"/>
                          </a:xfrm>
                          <a:prstGeom prst="ellipse">
                            <a:avLst/>
                          </a:prstGeom>
                          <a:solidFill>
                            <a:schemeClr val="accent3">
                              <a:lumMod val="40000"/>
                              <a:lumOff val="60000"/>
                            </a:schemeClr>
                          </a:solidFill>
                          <a:ln w="12700">
                            <a:solidFill>
                              <a:schemeClr val="accent3"/>
                            </a:solidFill>
                            <a:round/>
                            <a:headEnd/>
                            <a:tailEnd/>
                          </a:ln>
                          <a:effectLst/>
                          <a:extLst/>
                        </wps:spPr>
                        <wps:txbx>
                          <w:txbxContent>
                            <w:p w14:paraId="000B650C" w14:textId="77777777" w:rsidR="002536F9" w:rsidRDefault="002536F9" w:rsidP="002F61BA">
                              <w:pPr>
                                <w:pStyle w:val="NormalWeb"/>
                                <w:spacing w:before="0" w:beforeAutospacing="0" w:after="0" w:afterAutospacing="0"/>
                                <w:jc w:val="center"/>
                                <w:textAlignment w:val="baseline"/>
                              </w:pPr>
                              <w:r>
                                <w:rPr>
                                  <w:rFonts w:ascii="Arial" w:hAnsi="Arial" w:cstheme="minorBidi"/>
                                  <w:b/>
                                  <w:bCs/>
                                  <w:color w:val="005B99"/>
                                  <w:kern w:val="24"/>
                                  <w:sz w:val="18"/>
                                  <w:szCs w:val="18"/>
                                </w:rPr>
                                <w:t>Whole of State</w:t>
                              </w:r>
                            </w:p>
                            <w:p w14:paraId="503036D4" w14:textId="77777777" w:rsidR="002536F9" w:rsidRDefault="002536F9" w:rsidP="002F61BA">
                              <w:pPr>
                                <w:pStyle w:val="NormalWeb"/>
                                <w:spacing w:before="0" w:beforeAutospacing="0" w:after="0" w:afterAutospacing="0"/>
                                <w:jc w:val="center"/>
                                <w:textAlignment w:val="baseline"/>
                              </w:pPr>
                              <w:r>
                                <w:rPr>
                                  <w:rFonts w:ascii="Arial" w:hAnsi="Arial" w:cstheme="minorBidi"/>
                                  <w:b/>
                                  <w:bCs/>
                                  <w:color w:val="000000"/>
                                  <w:kern w:val="24"/>
                                  <w:sz w:val="18"/>
                                  <w:szCs w:val="18"/>
                                </w:rPr>
                                <w:t>Centrally managed</w:t>
                              </w:r>
                            </w:p>
                          </w:txbxContent>
                        </wps:txbx>
                        <wps:bodyPr wrap="none" lIns="36000" tIns="36000" rIns="36000" bIns="0" anchor="ctr"/>
                      </wps:wsp>
                    </wpg:wgp>
                  </a:graphicData>
                </a:graphic>
              </wp:inline>
            </w:drawing>
          </mc:Choice>
          <mc:Fallback>
            <w:pict>
              <v:group id="Group 90" o:spid="_x0000_s1077" style="width:395.15pt;height:279.05pt;mso-position-horizontal-relative:char;mso-position-vertical-relative:line" coordorigin=",-507" coordsize="50151,3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">
                <v:rect id="Rectangle 10" o:spid="_x0000_s1078" style="position:absolute;left:76;top:13880;width:49911;height:3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ZCsYA&#10;AADbAAAADwAAAGRycy9kb3ducmV2LnhtbESPT2vCQBDF7wW/wzKFXkQ3rbSU6CrSP+i10YrehuyY&#10;hGZn0+wao5++cxB6m+G9ee83s0XvatVRGyrPBh7HCSji3NuKCwPbzefoFVSIyBZrz2TgQgEW88Hd&#10;DFPrz/xFXRYLJSEcUjRQxtikWoe8JIdh7Bti0Y6+dRhlbQttWzxLuKv1U5K8aIcVS0OJDb2VlP9k&#10;J2cg+7WHYbOarPbD3XZz6j6uz/33uzEP9/1yCipSH//Nt+u1FXyhl19kA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EZCsYAAADbAAAADwAAAAAAAAAAAAAAAACYAgAAZHJz&#10;L2Rvd25yZXYueG1sUEsFBgAAAAAEAAQA9QAAAIsDAAAAAA==&#10;" fillcolor="#0f0248 [3205]" strokecolor="#0f0248 [3205]" strokeweight="2pt">
                  <v:textbox>
                    <w:txbxContent>
                      <w:p w14:paraId="1B690F4F" w14:textId="77777777" w:rsidR="002536F9" w:rsidRDefault="002536F9" w:rsidP="002F61BA">
                        <w:pPr>
                          <w:pStyle w:val="NormalWeb"/>
                          <w:spacing w:before="0" w:beforeAutospacing="0" w:after="0" w:afterAutospacing="0"/>
                          <w:jc w:val="center"/>
                        </w:pPr>
                        <w:r>
                          <w:rPr>
                            <w:rFonts w:ascii="Arial" w:hAnsi="Arial" w:cstheme="minorBidi"/>
                            <w:b/>
                            <w:bCs/>
                            <w:color w:val="FFFFFF" w:themeColor="background1"/>
                            <w:kern w:val="24"/>
                            <w:sz w:val="22"/>
                            <w:szCs w:val="22"/>
                          </w:rPr>
                          <w:t>1. SAU inter-entity accounts</w:t>
                        </w:r>
                      </w:p>
                    </w:txbxContent>
                  </v:textbox>
                </v:rect>
                <v:rect id="Rectangle 17" o:spid="_x0000_s1079" style="position:absolute;left:164;top:-507;width:49987;height:138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ucIA&#10;AADbAAAADwAAAGRycy9kb3ducmV2LnhtbERPS2sCMRC+F/wPYQRvNaugldUootT20uLr4HHYjJvF&#10;zSTdZHX775tCobf5+J6zWHW2FndqQuVYwWiYgSAunK64VHA+vT7PQISIrLF2TAq+KcBq2XtaYK7d&#10;gw90P8ZSpBAOOSowMfpcylAYshiGzhMn7uoaizHBppS6wUcKt7UcZ9lUWqw4NRj0tDFU3I6tVcBv&#10;xRd+7LfrnfHtbtrOJp+XrVdq0O/WcxCRuvgv/nO/6zT/BX5/S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5+e5wgAAANsAAAAPAAAAAAAAAAAAAAAAAJgCAABkcnMvZG93&#10;bnJldi54bWxQSwUGAAAAAAQABAD1AAAAhwMAAAAA&#10;" fillcolor="#e3ebf4 [662]" stroked="f"/>
                <v:rect id="Rectangle 19" o:spid="_x0000_s1080" style="position:absolute;top:16928;width:50151;height:148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7+7MQA&#10;AADbAAAADwAAAGRycy9kb3ducmV2LnhtbESP3WrCQBCF7wXfYRmhd7rRQqjRVUQQCqUV/8DLaXaa&#10;DWZn0+zWxLd3hYJ3M5wz5zszX3a2EldqfOlYwXiUgCDOnS65UHA8bIZvIHxA1lg5JgU38rBc9Htz&#10;zLRreUfXfShEDGGfoQITQp1J6XNDFv3I1cRR+3GNxRDXppC6wTaG20pOkiSVFkuOBIM1rQ3ll/2f&#10;jdzT+PaVbj/Om+/0M/ymxvNrmyv1MuhWMxCBuvA0/1+/61h/Co9f4g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O/uzEAAAA2wAAAA8AAAAAAAAAAAAAAAAAmAIAAGRycy9k&#10;b3ducmV2LnhtbFBLBQYAAAAABAAEAPUAAACJAwAAAAA=&#10;" fillcolor="#c7d7e9 [1302]" stroked="f"/>
                <v:rect id="Rectangle 19712" o:spid="_x0000_s1081" style="position:absolute;left:15357;top:882;width:176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0GMMA&#10;AADeAAAADwAAAGRycy9kb3ducmV2LnhtbERPzWoCMRC+F/oOYQpeiiYupa2rUUqxteip6gMMm3E3&#10;uJksSVy3b28Khd7m4/udxWpwregpROtZw3SiQBBX3liuNRwPH+NXEDEhG2w9k4YfirBa3t8tsDT+&#10;yt/U71MtcgjHEjU0KXWllLFqyGGc+I44cycfHKYMQy1NwGsOd60slHqWDi3nhgY7em+oOu8vTsPT&#10;Z7Fd20e1s66/4HErg9rwTuvRw/A2B5FoSP/iP/eXyfNnL9MCft/JN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F0GMMAAADeAAAADwAAAAAAAAAAAAAAAACYAgAAZHJzL2Rv&#10;d25yZXYueG1sUEsFBgAAAAAEAAQA9QAAAIgDAAAAAA==&#10;" filled="f" stroked="f">
                  <v:textbox style="mso-fit-shape-to-text:t">
                    <w:txbxContent>
                      <w:p w14:paraId="5DCFFB9B" w14:textId="77777777" w:rsidR="002536F9" w:rsidRDefault="002536F9" w:rsidP="002F61BA">
                        <w:pPr>
                          <w:pStyle w:val="NormalWeb"/>
                          <w:spacing w:before="0" w:beforeAutospacing="0" w:after="0" w:afterAutospacing="0"/>
                          <w:textAlignment w:val="baseline"/>
                        </w:pPr>
                        <w:r>
                          <w:rPr>
                            <w:rFonts w:ascii="Arial" w:hAnsi="Arial" w:cstheme="minorBidi"/>
                            <w:b/>
                            <w:bCs/>
                            <w:color w:val="0063A6" w:themeColor="accent1"/>
                            <w:kern w:val="24"/>
                            <w:sz w:val="22"/>
                            <w:szCs w:val="22"/>
                          </w:rPr>
                          <w:t>3. SAU – central agency</w:t>
                        </w:r>
                      </w:p>
                    </w:txbxContent>
                  </v:textbox>
                </v:rect>
                <v:rect id="Rectangle 19713" o:spid="_x0000_s1082" style="position:absolute;left:-3828;top:6352;width:10026;height:222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V91MQA&#10;AADeAAAADwAAAGRycy9kb3ducmV2LnhtbERPTWsCMRC9F/ofwgi9lJpVwerWKCIongStFI/Tzbi7&#10;mEy2m1TjvzeC4G0e73Mms2iNOFPra8cKet0MBHHhdM2lgv338mMEwgdkjcYxKbiSh9n09WWCuXYX&#10;3tJ5F0qRQtjnqKAKocml9EVFFn3XNcSJO7rWYkiwLaVu8ZLCrZH9LBtKizWnhgobWlRUnHb/VkFz&#10;Pfz+rcxm+BP7+vRu5qO4N4VSb504/wIRKIan+OFe6zR//NkbwP2ddIO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1fdTEAAAA3gAAAA8AAAAAAAAAAAAAAAAAmAIAAGRycy9k&#10;b3ducmV2LnhtbFBLBQYAAAAABAAEAPUAAACJAwAAAAA=&#10;" filled="f" stroked="f">
                  <v:textbox style="mso-fit-shape-to-text:t">
                    <w:txbxContent>
                      <w:p w14:paraId="4C8A116C" w14:textId="77777777" w:rsidR="002536F9" w:rsidRDefault="002536F9" w:rsidP="002F61BA">
                        <w:pPr>
                          <w:pStyle w:val="NormalWeb"/>
                          <w:spacing w:before="0" w:beforeAutospacing="0" w:after="0" w:afterAutospacing="0"/>
                        </w:pPr>
                        <w:r>
                          <w:rPr>
                            <w:rFonts w:asciiTheme="majorHAnsi" w:hAnsi="Arial" w:cstheme="minorBidi"/>
                            <w:b/>
                            <w:bCs/>
                            <w:color w:val="000000"/>
                            <w:kern w:val="24"/>
                            <w:sz w:val="18"/>
                            <w:szCs w:val="18"/>
                          </w:rPr>
                          <w:t>GOVERNMENT</w:t>
                        </w:r>
                      </w:p>
                    </w:txbxContent>
                  </v:textbox>
                </v:rect>
                <v:rect id="Rectangle 19714" o:spid="_x0000_s1083" style="position:absolute;left:-3308;top:22896;width:9767;height:222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loMQA&#10;AADeAAAADwAAAGRycy9kb3ducmV2LnhtbERPTWsCMRC9F/ofwgi9lJpVxOrWKCIongStFI/Tzbi7&#10;mEy2m1TjvzeC4G0e73Mms2iNOFPra8cKet0MBHHhdM2lgv338mMEwgdkjcYxKbiSh9n09WWCuXYX&#10;3tJ5F0qRQtjnqKAKocml9EVFFn3XNcSJO7rWYkiwLaVu8ZLCrZH9LBtKizWnhgobWlRUnHb/VkFz&#10;Pfz+rcxm+BP7+vRu5qO4N4VSb504/wIRKIan+OFe6zR//NkbwP2ddIO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c5aDEAAAA3gAAAA8AAAAAAAAAAAAAAAAAmAIAAGRycy9k&#10;b3ducmV2LnhtbFBLBQYAAAAABAAEAPUAAACJAwAAAAA=&#10;" filled="f" stroked="f">
                  <v:textbox style="mso-fit-shape-to-text:t">
                    <w:txbxContent>
                      <w:p w14:paraId="7C982988" w14:textId="77777777" w:rsidR="002536F9" w:rsidRDefault="002536F9" w:rsidP="002F61BA">
                        <w:pPr>
                          <w:pStyle w:val="NormalWeb"/>
                          <w:spacing w:before="0" w:beforeAutospacing="0" w:after="0" w:afterAutospacing="0"/>
                        </w:pPr>
                        <w:r>
                          <w:rPr>
                            <w:rFonts w:asciiTheme="majorHAnsi" w:hAnsi="Arial" w:cstheme="minorBidi"/>
                            <w:b/>
                            <w:bCs/>
                            <w:color w:val="000000"/>
                            <w:kern w:val="24"/>
                            <w:sz w:val="18"/>
                            <w:szCs w:val="18"/>
                          </w:rPr>
                          <w:t>DEPARTMENT</w:t>
                        </w:r>
                      </w:p>
                    </w:txbxContent>
                  </v:textbox>
                </v:rect>
                <v:rect id="Rectangle 19715" o:spid="_x0000_s1084" style="position:absolute;left:5328;top:21346;width:17820;height:8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9kOsUA&#10;AADeAAAADwAAAGRycy9kb3ducmV2LnhtbESPQWsCMRCF7wX/Qxihl6JZBa3dbhRRCkLxoLX3IZlu&#10;lt1Mlk10139vCoXeZvjevPem2AyuETfqQuVZwWyagSDW3lRcKrh8fUxWIEJENth4JgV3CrBZj54K&#10;zI3v+US3cyxFMuGQowIbY5tLGbQlh2HqW+LEfnznMKa1K6XpsE/mrpHzLFtKhxWnBIst7Szp+nx1&#10;Cmr9sg/X0G/77+PnLjFtG79S6nk8bN9BRBriv/jv+mBS/bfX2QJ+30kz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72Q6xQAAAN4AAAAPAAAAAAAAAAAAAAAAAJgCAABkcnMv&#10;ZG93bnJldi54bWxQSwUGAAAAAAQABAD1AAAAigMAAAAA&#10;" filled="f" fillcolor="#0063a6 [3204]" stroked="f" strokecolor="black [3213]" strokeweight="1pt">
                  <v:shadow color="#d9d9d6 [3214]"/>
                  <v:textbox style="mso-fit-shape-to-text:t" inset="2.51356mm,3.5pt,2.51356mm,3.5pt">
                    <w:txbxContent>
                      <w:p w14:paraId="2C9852B6" w14:textId="77777777" w:rsidR="002536F9" w:rsidRPr="00A13839" w:rsidRDefault="002536F9" w:rsidP="002F61BA">
                        <w:pPr>
                          <w:pStyle w:val="Bullet1"/>
                          <w:rPr>
                            <w:sz w:val="18"/>
                            <w:szCs w:val="18"/>
                          </w:rPr>
                        </w:pPr>
                        <w:r w:rsidRPr="00A13839">
                          <w:rPr>
                            <w:sz w:val="18"/>
                            <w:szCs w:val="18"/>
                          </w:rPr>
                          <w:t>Purchase of outputs</w:t>
                        </w:r>
                      </w:p>
                      <w:p w14:paraId="6AA9E1B6" w14:textId="77777777" w:rsidR="002536F9" w:rsidRPr="00A13839" w:rsidRDefault="002536F9" w:rsidP="002F61BA">
                        <w:pPr>
                          <w:pStyle w:val="Bullet1"/>
                          <w:rPr>
                            <w:sz w:val="18"/>
                            <w:szCs w:val="18"/>
                          </w:rPr>
                        </w:pPr>
                        <w:r w:rsidRPr="00A13839">
                          <w:rPr>
                            <w:sz w:val="18"/>
                            <w:szCs w:val="18"/>
                          </w:rPr>
                          <w:t>Additions to net assets</w:t>
                        </w:r>
                      </w:p>
                      <w:p w14:paraId="1244FBE8" w14:textId="77777777" w:rsidR="002536F9" w:rsidRPr="00A13839" w:rsidRDefault="002536F9" w:rsidP="002F61BA">
                        <w:pPr>
                          <w:pStyle w:val="Bullet1"/>
                          <w:rPr>
                            <w:sz w:val="18"/>
                            <w:szCs w:val="18"/>
                          </w:rPr>
                        </w:pPr>
                        <w:r w:rsidRPr="00A13839">
                          <w:rPr>
                            <w:sz w:val="18"/>
                            <w:szCs w:val="18"/>
                          </w:rPr>
                          <w:t>Cash draw downs</w:t>
                        </w:r>
                      </w:p>
                      <w:p w14:paraId="7B809F43" w14:textId="77777777" w:rsidR="002536F9" w:rsidRPr="00A13839" w:rsidRDefault="002536F9" w:rsidP="002F61BA">
                        <w:pPr>
                          <w:pStyle w:val="Bullet1"/>
                          <w:rPr>
                            <w:sz w:val="18"/>
                            <w:szCs w:val="18"/>
                          </w:rPr>
                        </w:pPr>
                        <w:r w:rsidRPr="00A13839">
                          <w:rPr>
                            <w:sz w:val="18"/>
                            <w:szCs w:val="18"/>
                          </w:rPr>
                          <w:t xml:space="preserve">Accrued expenses </w:t>
                        </w:r>
                      </w:p>
                    </w:txbxContent>
                  </v:textbox>
                </v:rect>
                <v:rect id="Rectangle 19716" o:spid="_x0000_s1085" style="position:absolute;left:29205;top:21352;width:19869;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36TcYA&#10;AADeAAAADwAAAGRycy9kb3ducmV2LnhtbESPzWrDMBCE74G+g9hCL6GR00OSulGMSSkUQg5J2vsi&#10;bS0Ta2Us+advHxUKue3yzc7MbovJNWKgLtSeFSwXGQhi7U3NlYKvy8fzBkSIyAYbz6TglwIUu4fZ&#10;FnPjRz7RcI6VSCYcclRgY2xzKYO25DAsfEuc2I/vHMa0dpU0HY7J3DXyJctW0mHNKcFiS3tL+nru&#10;nYKrnr+HPozl+H087BPTtvEbpZ4ep/INRKQp3sX/158m1X9dL1fw906a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36TcYAAADeAAAADwAAAAAAAAAAAAAAAACYAgAAZHJz&#10;L2Rvd25yZXYueG1sUEsFBgAAAAAEAAQA9QAAAIsDAAAAAA==&#10;" filled="f" fillcolor="#0063a6 [3204]" stroked="f" strokecolor="black [3213]" strokeweight="1pt">
                  <v:shadow color="#d9d9d6 [3214]"/>
                  <v:textbox style="mso-fit-shape-to-text:t" inset="2.51356mm,3.5pt,2.51356mm,3.5pt">
                    <w:txbxContent>
                      <w:p w14:paraId="6A315847" w14:textId="7C37DADB" w:rsidR="002536F9" w:rsidRPr="00A13839" w:rsidRDefault="002536F9" w:rsidP="002F61BA">
                        <w:pPr>
                          <w:pStyle w:val="Bullet1"/>
                          <w:rPr>
                            <w:sz w:val="18"/>
                            <w:szCs w:val="18"/>
                          </w:rPr>
                        </w:pPr>
                        <w:r w:rsidRPr="00A13839">
                          <w:rPr>
                            <w:sz w:val="18"/>
                            <w:szCs w:val="18"/>
                            <w:lang w:val="en-US"/>
                          </w:rPr>
                          <w:t>Payments on Behalf of the State</w:t>
                        </w:r>
                        <w:r>
                          <w:rPr>
                            <w:sz w:val="18"/>
                            <w:szCs w:val="18"/>
                            <w:lang w:val="en-US"/>
                          </w:rPr>
                          <w:t xml:space="preserve"> (POBOS)</w:t>
                        </w:r>
                      </w:p>
                      <w:p w14:paraId="021478DC" w14:textId="77777777" w:rsidR="002536F9" w:rsidRPr="00A13839" w:rsidRDefault="002536F9" w:rsidP="002F61BA">
                        <w:pPr>
                          <w:pStyle w:val="Bullet1"/>
                          <w:rPr>
                            <w:sz w:val="18"/>
                            <w:szCs w:val="18"/>
                          </w:rPr>
                        </w:pPr>
                        <w:r w:rsidRPr="00A13839">
                          <w:rPr>
                            <w:sz w:val="18"/>
                            <w:szCs w:val="18"/>
                          </w:rPr>
                          <w:t>Revenue to central agency</w:t>
                        </w:r>
                      </w:p>
                    </w:txbxContent>
                  </v:textbox>
                </v:rect>
                <v:rect id="Rectangle 19717" o:spid="_x0000_s1086" style="position:absolute;left:6773;top:32469;width:12477;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f1sUA&#10;AADeAAAADwAAAGRycy9kb3ducmV2LnhtbESPS4sCMRCE7wv+h9CCl0UzevAxGkUUQVj2sD7uTdJO&#10;BiedYRKd8d9vhIW9dfNVV1WvNp2rxJOaUHpWMB5lIIi1NyUXCi7nw3AOIkRkg5VnUvCiAJt172OF&#10;ufEt/9DzFAuRTDjkqMDGWOdSBm3JYRj5mjixm28cxrQ2hTQNtsncVXKSZVPpsOSUYLGmnSV9Pz2c&#10;grv+3IdHaLft9ftrl5i2lZ8rNeh32yWISF38F/9dH02qv5iNZ/B+J80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V/WxQAAAN4AAAAPAAAAAAAAAAAAAAAAAJgCAABkcnMv&#10;ZG93bnJldi54bWxQSwUGAAAAAAQABAD1AAAAigMAAAAA&#10;" filled="f" fillcolor="#0063a6 [3204]" stroked="f" strokecolor="black [3213]" strokeweight="1pt">
                  <v:shadow color="#d9d9d6 [3214]"/>
                  <v:textbox style="mso-fit-shape-to-text:t" inset="2.51356mm,3.5pt,2.51356mm,3.5pt">
                    <w:txbxContent>
                      <w:p w14:paraId="066F4C60" w14:textId="77777777" w:rsidR="002536F9" w:rsidRDefault="002536F9" w:rsidP="002F61BA">
                        <w:pPr>
                          <w:pStyle w:val="NormalWeb"/>
                          <w:spacing w:before="0" w:beforeAutospacing="0" w:after="0" w:afterAutospacing="0"/>
                          <w:jc w:val="center"/>
                          <w:textAlignment w:val="baseline"/>
                        </w:pPr>
                        <w:r>
                          <w:rPr>
                            <w:rFonts w:asciiTheme="minorHAnsi" w:hAnsi="Arial" w:cstheme="minorBidi"/>
                            <w:b/>
                            <w:bCs/>
                            <w:color w:val="005B99"/>
                            <w:kern w:val="24"/>
                            <w:sz w:val="20"/>
                            <w:szCs w:val="20"/>
                          </w:rPr>
                          <w:t>CONTROLLED</w:t>
                        </w:r>
                      </w:p>
                    </w:txbxContent>
                  </v:textbox>
                </v:rect>
                <v:rect id="Rectangle 19718" o:spid="_x0000_s1087" style="position:absolute;left:31281;top:32457;width:13691;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LpMQA&#10;AADeAAAADwAAAGRycy9kb3ducmV2LnhtbESPTWsCMRCG74X+hzAFL0WzerC6NYpYCkLxoLb3IZlu&#10;FjeTZRPd9d93DkJvM7wf88xqM4RG3ahLdWQD00kBithGV3Nl4Pv8OV6AShnZYROZDNwpwWb9/LTC&#10;0sWej3Q75UpJCacSDfic21LrZD0FTJPYEov2G7uAWdau0q7DXspDo2dFMdcBa5YLHlvaebKX0zUY&#10;uNjXj3RN/bb/OXztRLO+iQtjRi/D9h1UpiH/mx/pvRP85dtUeOUdmUG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uy6TEAAAA3gAAAA8AAAAAAAAAAAAAAAAAmAIAAGRycy9k&#10;b3ducmV2LnhtbFBLBQYAAAAABAAEAPUAAACJAwAAAAA=&#10;" filled="f" fillcolor="#0063a6 [3204]" stroked="f" strokecolor="black [3213]" strokeweight="1pt">
                  <v:shadow color="#d9d9d6 [3214]"/>
                  <v:textbox style="mso-fit-shape-to-text:t" inset="2.51356mm,3.5pt,2.51356mm,3.5pt">
                    <w:txbxContent>
                      <w:p w14:paraId="64132B1E" w14:textId="77777777" w:rsidR="002536F9" w:rsidRDefault="002536F9" w:rsidP="002F61BA">
                        <w:pPr>
                          <w:pStyle w:val="NormalWeb"/>
                          <w:spacing w:before="0" w:beforeAutospacing="0" w:after="0" w:afterAutospacing="0"/>
                          <w:jc w:val="center"/>
                          <w:textAlignment w:val="baseline"/>
                        </w:pPr>
                        <w:r>
                          <w:rPr>
                            <w:rFonts w:asciiTheme="minorHAnsi" w:hAnsi="Arial" w:cstheme="minorBidi"/>
                            <w:b/>
                            <w:bCs/>
                            <w:color w:val="8A2A2B" w:themeColor="accent6"/>
                            <w:kern w:val="24"/>
                            <w:sz w:val="20"/>
                            <w:szCs w:val="20"/>
                          </w:rPr>
                          <w:t>ADMINISTERED</w:t>
                        </w:r>
                      </w:p>
                    </w:txbxContent>
                  </v:textbox>
                </v:rect>
                <v:rect id="Rectangle 19719" o:spid="_x0000_s1088" style="position:absolute;left:40360;top:712;width:9592;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yhMMA&#10;AADeAAAADwAAAGRycy9kb3ducmV2LnhtbERPS2sCMRC+F/wPYQreatYKrW6NYtVC6c0HpcchGXeD&#10;m0nYRE3/fVMo9DYf33Pmy+w6caU+Ws8KxqMKBLH2xnKj4Hh4e5iCiAnZYOeZFHxThOVicDfH2vgb&#10;7+i6T40oIRxrVNCmFGopo27JYRz5QFy4k+8dpgL7RpoebyXcdfKxqp6kQ8ulocVA65b0eX9xCvLr&#10;x1c+ns56s+62dhI+ddhardTwPq9eQCTK6V/85343Zf7seTyD33fKD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OyhMMAAADeAAAADwAAAAAAAAAAAAAAAACYAgAAZHJzL2Rv&#10;d25yZXYueG1sUEsFBgAAAAAEAAQA9QAAAIgDAAAAAA==&#10;" filled="f" fillcolor="#0063a6 [3204]" stroked="f" strokecolor="black [3213]" strokeweight="1pt">
                  <v:shadow color="#d9d9d6 [3214]"/>
                  <v:textbox inset="2.51356mm,3.5pt,2.51356mm,3.5pt">
                    <w:txbxContent>
                      <w:p w14:paraId="559379D4" w14:textId="11E5CD16" w:rsidR="002536F9" w:rsidRDefault="002536F9" w:rsidP="002F61BA">
                        <w:pPr>
                          <w:pStyle w:val="NormalWeb"/>
                          <w:spacing w:before="0" w:beforeAutospacing="0" w:after="0" w:afterAutospacing="0"/>
                          <w:jc w:val="center"/>
                          <w:textAlignment w:val="baseline"/>
                        </w:pPr>
                        <w:r>
                          <w:rPr>
                            <w:rFonts w:asciiTheme="minorHAnsi" w:hAnsi="Arial" w:cstheme="minorBidi"/>
                            <w:b/>
                            <w:bCs/>
                            <w:color w:val="000000"/>
                            <w:kern w:val="24"/>
                            <w:sz w:val="20"/>
                            <w:szCs w:val="20"/>
                          </w:rPr>
                          <w:t>‘Corporate’</w:t>
                        </w:r>
                      </w:p>
                      <w:p w14:paraId="15B58D90" w14:textId="77777777" w:rsidR="002536F9" w:rsidRDefault="002536F9" w:rsidP="002F61BA">
                        <w:pPr>
                          <w:pStyle w:val="NormalWeb"/>
                          <w:spacing w:before="0" w:beforeAutospacing="0" w:after="0" w:afterAutospacing="0"/>
                          <w:jc w:val="center"/>
                          <w:textAlignment w:val="baseline"/>
                        </w:pPr>
                        <w:r>
                          <w:rPr>
                            <w:rFonts w:asciiTheme="minorHAnsi" w:hAnsi="Arial" w:cstheme="minorBidi"/>
                            <w:b/>
                            <w:bCs/>
                            <w:color w:val="000000"/>
                            <w:kern w:val="24"/>
                            <w:sz w:val="20"/>
                            <w:szCs w:val="20"/>
                          </w:rPr>
                          <w:t>DTF</w:t>
                        </w:r>
                      </w:p>
                    </w:txbxContent>
                  </v:textbox>
                </v:rect>
                <v:rect id="Rectangle 19720" o:spid="_x0000_s1089" style="position:absolute;left:27816;top:18238;width:12547;height:21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FSccA&#10;AADeAAAADwAAAGRycy9kb3ducmV2LnhtbESPzWoDMQyE74W+g1Egl9LYXUp/tnFCKekPyalpHkCs&#10;1V2TtbzYzmb79tWh0JuERjPzLddT6NVIKfvIFm4WBhRxE53n1sLh6/X6AVQuyA77yGThhzKsV5cX&#10;S6xdPPMnjfvSKjHhXKOFrpSh1jo3HQXMizgQy+07poBF1tRql/As5qHXlTF3OqBnSehwoJeOmuP+&#10;FCzcvlXbjb8yOx/GEx62Opl33lk7n03PT6AKTeVf/Pf94aT+430lAIIj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jhUnHAAAA3gAAAA8AAAAAAAAAAAAAAAAAmAIAAGRy&#10;cy9kb3ducmV2LnhtbFBLBQYAAAAABAAEAPUAAACMAwAAAAA=&#10;" filled="f" stroked="f">
                  <v:textbox style="mso-fit-shape-to-text:t">
                    <w:txbxContent>
                      <w:p w14:paraId="57D89402" w14:textId="77777777" w:rsidR="002536F9" w:rsidRDefault="002536F9" w:rsidP="002F61BA">
                        <w:pPr>
                          <w:pStyle w:val="NormalWeb"/>
                          <w:spacing w:before="0" w:beforeAutospacing="0" w:after="0" w:afterAutospacing="0" w:line="192" w:lineRule="auto"/>
                          <w:jc w:val="center"/>
                          <w:textAlignment w:val="baseline"/>
                        </w:pPr>
                        <w:r>
                          <w:rPr>
                            <w:rFonts w:asciiTheme="majorHAnsi" w:hAnsi="Arial" w:cstheme="minorBidi"/>
                            <w:b/>
                            <w:bCs/>
                            <w:color w:val="005B99"/>
                            <w:kern w:val="24"/>
                            <w:sz w:val="22"/>
                            <w:szCs w:val="22"/>
                          </w:rPr>
                          <w:t>2. SAU – branch</w:t>
                        </w:r>
                      </w:p>
                    </w:txbxContent>
                  </v:textbox>
                </v:rect>
                <v:line id="Straight Connector 19721" o:spid="_x0000_s1090" style="position:absolute;flip:y;visibility:visible;mso-wrap-style:square" from="8534,15683" to="8534,20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mP5sYAAADeAAAADwAAAGRycy9kb3ducmV2LnhtbESPQWvCQBCF70L/wzKF3nSjBW1TV0kM&#10;hWIvrbb3ITsmobuzIbsx8d+7QsHbDO99b96st6M14kydbxwrmM8SEMSl0w1XCn6O79MXED4gazSO&#10;ScGFPGw3D5M1ptoN/E3nQ6hEDGGfooI6hDaV0pc1WfQz1xJH7eQ6iyGuXSV1h0MMt0YukmQpLTYc&#10;L9TY0q6m8u/Q21ijuPTmmBe/+x2eZPYpB5M/fyn19DhmbyACjeFu/qc/dOReV4s53N6JM8jN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Zj+bGAAAA3gAAAA8AAAAAAAAA&#10;AAAAAAAAoQIAAGRycy9kb3ducmV2LnhtbFBLBQYAAAAABAAEAPkAAACUAwAAAAA=&#10;" strokecolor="#85c8ff [1303]" strokeweight="3pt">
                  <v:stroke endarrow="classic" endarrowlength="long"/>
                </v:line>
                <v:line id="Straight Connector 19722" o:spid="_x0000_s1091" style="position:absolute;flip:y;visibility:visible;mso-wrap-style:square" from="42824,15730" to="42824,2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87TMUAAADeAAAADwAAAGRycy9kb3ducmV2LnhtbERPTWvCQBC9F/wPywi91U1zaGvqJlSh&#10;UMGLiWCPQ3aahO7OhuxGo7/eLQi9zeN9zqqYrBEnGnznWMHzIgFBXDvdcaPgUH0+vYHwAVmjcUwK&#10;LuShyGcPK8y0O/OeTmVoRAxhn6GCNoQ+k9LXLVn0C9cTR+7HDRZDhEMj9YDnGG6NTJPkRVrsODa0&#10;2NOmpfq3HK2C48Fcvq9ltVvvKp6243IszXVU6nE+fbyDCDSFf/Hd/aXj/OVrmsLfO/EGm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87TMUAAADeAAAADwAAAAAAAAAA&#10;AAAAAAChAgAAZHJzL2Rvd25yZXYueG1sUEsFBgAAAAAEAAQA+QAAAJMDAAAAAA==&#10;" strokecolor="#d06767 [1945]" strokeweight="3pt">
                  <v:stroke endarrow="classic" endarrowlength="long"/>
                </v:line>
                <v:line id="Straight Connector 19723" o:spid="_x0000_s1092" style="position:absolute;flip:y;visibility:visible;mso-wrap-style:square" from="8534,9311" to="8534,1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mWCsYAAADeAAAADwAAAGRycy9kb3ducmV2LnhtbERPS0sDMRC+C/0PYYTebNYt2nZtWkQo&#10;9iKlD0q9jZtxs3QzWZK4Xf31RhB6m4/vOfNlbxvRkQ+1YwX3owwEcel0zZWCw351NwURIrLGxjEp&#10;+KYAy8XgZo6FdhfeUreLlUghHApUYGJsCylDachiGLmWOHGfzluMCfpKao+XFG4bmWfZo7RYc2ow&#10;2NKLofK8+7IKNtv15nRcuTfzsP+ZyFfr3/PuQ6nhbf/8BCJSH6/if/dap/mzST6Gv3fSDX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plgrGAAAA3gAAAA8AAAAAAAAA&#10;AAAAAAAAoQIAAGRycy9kb3ducmV2LnhtbFBLBQYAAAAABAAEAPkAAACUAwAAAAA=&#10;" strokecolor="#85c8ff [1303]" strokeweight="3pt">
                  <v:stroke startarrow="classic" startarrowlength="long"/>
                </v:line>
                <v:line id="Straight Connector 19724" o:spid="_x0000_s1093" style="position:absolute;flip:y;visibility:visible;mso-wrap-style:square" from="42860,9319" to="42860,1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mPn8QAAADeAAAADwAAAGRycy9kb3ducmV2LnhtbERPS2vCQBC+F/oflil4qxujWI2uImKx&#10;J8EHiLcxOybR7GzIrib9911B6G0+vudM560pxYNqV1hW0OtGIIhTqwvOFBz2358jEM4jaywtk4Jf&#10;cjCfvb9NMdG24S09dj4TIYRdggpy76tESpfmZNB1bUUcuIutDfoA60zqGpsQbkoZR9FQGiw4NORY&#10;0TKn9La7GwWr9alXNBhvTlc9uN6r/tql56NSnY92MQHhqfX/4pf7R4f54694AM93wg1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2Y+fxAAAAN4AAAAPAAAAAAAAAAAA&#10;AAAAAKECAABkcnMvZG93bnJldi54bWxQSwUGAAAAAAQABAD5AAAAkgMAAAAA&#10;" strokecolor="#d06767 [1945]" strokeweight="3pt">
                  <v:stroke startarrow="classic" startarrowlength="long"/>
                </v:line>
                <v:line id="Line 40" o:spid="_x0000_s1094" style="position:absolute;flip:x;visibility:visible;mso-wrap-style:square" from="25156,16933" to="25156,3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ks8YAAADeAAAADwAAAGRycy9kb3ducmV2LnhtbERPTUvDQBC9C/6HZQRvdtNIa43dFikE&#10;pYdKo+h1yI7Z0OxszG6T9N93CwVv83ifs1yPthE9db52rGA6SUAQl07XXCn4+swfFiB8QNbYOCYF&#10;J/KwXt3eLDHTbuA99UWoRAxhn6ECE0KbSelLQxb9xLXEkft1ncUQYVdJ3eEQw20j0ySZS4s1xwaD&#10;LW0MlYfiaBXs5715e/zefuz+Tk16XBT5ZvjJlbq/G19fQAQaw7/46n7Xcf7zUzqDyzvxBrk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opLPGAAAA3gAAAA8AAAAAAAAA&#10;AAAAAAAAoQIAAGRycy9kb3ducmV2LnhtbFBLBQYAAAAABAAEAPkAAACUAwAAAAA=&#10;" strokecolor="black [3213]" strokeweight="1.5pt">
                  <v:stroke dashstyle="dash"/>
                  <v:shadow color="#d9d9d6 [3214]"/>
                </v:line>
                <v:oval id="Oval 19726" o:spid="_x0000_s1095" style="position:absolute;left:4186;top:4202;width:1386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McIA&#10;AADeAAAADwAAAGRycy9kb3ducmV2LnhtbERPS2sCMRC+F/wPYYTealYLa7s1ihRErz4O3duwGTeL&#10;m8maZHX7741Q6G0+vucsVoNtxY18aBwrmE4yEMSV0w3XCk7HzdsHiBCRNbaOScEvBVgtRy8LLLS7&#10;855uh1iLFMKhQAUmxq6QMlSGLIaJ64gTd3beYkzQ11J7vKdw28pZluXSYsOpwWBH34aqy6G3CvzZ&#10;v4e2L69V6babITd9+NmSUq/jYf0FItIQ/8V/7p1O8z/nsxye76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AxwgAAAN4AAAAPAAAAAAAAAAAAAAAAAJgCAABkcnMvZG93&#10;bnJldi54bWxQSwUGAAAAAAQABAD1AAAAhwMAAAAA&#10;" fillcolor="#c7d7e9 [1302]" strokecolor="#749cc9 [3206]" strokeweight="1pt">
                  <v:textbox inset="0,0,0,0">
                    <w:txbxContent>
                      <w:p w14:paraId="2C2B565E" w14:textId="77777777" w:rsidR="002536F9" w:rsidRPr="00A13839" w:rsidRDefault="002536F9" w:rsidP="002F61BA">
                        <w:pPr>
                          <w:pStyle w:val="NormalWeb"/>
                          <w:spacing w:before="0" w:beforeAutospacing="0" w:after="0" w:afterAutospacing="0"/>
                          <w:jc w:val="center"/>
                          <w:rPr>
                            <w:rFonts w:asciiTheme="minorHAnsi" w:hAnsiTheme="minorHAnsi" w:cstheme="minorHAnsi"/>
                            <w:color w:val="000000" w:themeColor="text1"/>
                          </w:rPr>
                        </w:pPr>
                        <w:r w:rsidRPr="00A13839">
                          <w:rPr>
                            <w:rFonts w:asciiTheme="minorHAnsi" w:hAnsiTheme="minorHAnsi" w:cstheme="minorHAnsi"/>
                            <w:b/>
                            <w:bCs/>
                            <w:color w:val="000000" w:themeColor="text1"/>
                            <w:kern w:val="24"/>
                            <w:sz w:val="18"/>
                            <w:szCs w:val="18"/>
                          </w:rPr>
                          <w:t>Banker</w:t>
                        </w:r>
                      </w:p>
                      <w:p w14:paraId="159D2081" w14:textId="77777777" w:rsidR="002536F9" w:rsidRPr="00A13839" w:rsidRDefault="002536F9" w:rsidP="002F61BA">
                        <w:pPr>
                          <w:pStyle w:val="NormalWeb"/>
                          <w:spacing w:before="0" w:beforeAutospacing="0" w:after="0" w:afterAutospacing="0"/>
                          <w:jc w:val="center"/>
                          <w:rPr>
                            <w:rFonts w:asciiTheme="minorHAnsi" w:hAnsiTheme="minorHAnsi" w:cstheme="minorHAnsi"/>
                            <w:color w:val="000000" w:themeColor="text1"/>
                          </w:rPr>
                        </w:pPr>
                        <w:r w:rsidRPr="00A13839">
                          <w:rPr>
                            <w:rFonts w:asciiTheme="minorHAnsi" w:hAnsiTheme="minorHAnsi" w:cstheme="minorHAnsi"/>
                            <w:b/>
                            <w:bCs/>
                            <w:color w:val="000000" w:themeColor="text1"/>
                            <w:kern w:val="24"/>
                            <w:sz w:val="18"/>
                            <w:szCs w:val="18"/>
                          </w:rPr>
                          <w:t>Funder</w:t>
                        </w:r>
                      </w:p>
                      <w:p w14:paraId="47F4ABDC" w14:textId="77777777" w:rsidR="002536F9" w:rsidRPr="00A13839" w:rsidRDefault="002536F9" w:rsidP="002F61BA">
                        <w:pPr>
                          <w:pStyle w:val="NormalWeb"/>
                          <w:spacing w:before="0" w:beforeAutospacing="0" w:after="0" w:afterAutospacing="0"/>
                          <w:jc w:val="center"/>
                          <w:rPr>
                            <w:rFonts w:asciiTheme="minorHAnsi" w:hAnsiTheme="minorHAnsi" w:cstheme="minorHAnsi"/>
                            <w:color w:val="000000" w:themeColor="text1"/>
                          </w:rPr>
                        </w:pPr>
                        <w:r w:rsidRPr="00A13839">
                          <w:rPr>
                            <w:rFonts w:asciiTheme="minorHAnsi" w:hAnsiTheme="minorHAnsi" w:cstheme="minorHAnsi"/>
                            <w:b/>
                            <w:bCs/>
                            <w:color w:val="000000" w:themeColor="text1"/>
                            <w:kern w:val="24"/>
                            <w:sz w:val="18"/>
                            <w:szCs w:val="18"/>
                          </w:rPr>
                          <w:t>Owner</w:t>
                        </w:r>
                      </w:p>
                    </w:txbxContent>
                  </v:textbox>
                </v:oval>
                <v:oval id="Oval 19731" o:spid="_x0000_s1096" style="position:absolute;left:31209;top:4216;width:15665;height:60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WK5sUA&#10;AADeAAAADwAAAGRycy9kb3ducmV2LnhtbERP32vCMBB+H/g/hBN8m2kduK0aZQycMhCc07HHIznb&#10;YnOpTWq7/94MBnu7j+/nzZe9rcSVGl86VpCOExDE2pmScwWHz9X9EwgfkA1WjknBD3lYLgZ3c8yM&#10;6/iDrvuQixjCPkMFRQh1JqXXBVn0Y1cTR+7kGoshwiaXpsEuhttKTpJkKi2WHBsKrOm1IH3et1bB&#10;91u561brVreXHL+2+v3UHlOp1GjYv8xABOrDv/jPvTFx/vPjQwq/78Qb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rmxQAAAN4AAAAPAAAAAAAAAAAAAAAAAJgCAABkcnMv&#10;ZG93bnJldi54bWxQSwUGAAAAAAQABAD1AAAAigMAAAAA&#10;" fillcolor="#c7d7e9 [1302]" strokecolor="#749cc9 [3206]" strokeweight="1pt">
                  <v:textbox inset="1mm,1mm,1mm,0">
                    <w:txbxContent>
                      <w:p w14:paraId="000B650C" w14:textId="77777777" w:rsidR="002536F9" w:rsidRDefault="002536F9" w:rsidP="002F61BA">
                        <w:pPr>
                          <w:pStyle w:val="NormalWeb"/>
                          <w:spacing w:before="0" w:beforeAutospacing="0" w:after="0" w:afterAutospacing="0"/>
                          <w:jc w:val="center"/>
                          <w:textAlignment w:val="baseline"/>
                        </w:pPr>
                        <w:r>
                          <w:rPr>
                            <w:rFonts w:ascii="Arial" w:hAnsi="Arial" w:cstheme="minorBidi"/>
                            <w:b/>
                            <w:bCs/>
                            <w:color w:val="005B99"/>
                            <w:kern w:val="24"/>
                            <w:sz w:val="18"/>
                            <w:szCs w:val="18"/>
                          </w:rPr>
                          <w:t>Whole of State</w:t>
                        </w:r>
                      </w:p>
                      <w:p w14:paraId="503036D4" w14:textId="77777777" w:rsidR="002536F9" w:rsidRDefault="002536F9" w:rsidP="002F61BA">
                        <w:pPr>
                          <w:pStyle w:val="NormalWeb"/>
                          <w:spacing w:before="0" w:beforeAutospacing="0" w:after="0" w:afterAutospacing="0"/>
                          <w:jc w:val="center"/>
                          <w:textAlignment w:val="baseline"/>
                        </w:pPr>
                        <w:r>
                          <w:rPr>
                            <w:rFonts w:ascii="Arial" w:hAnsi="Arial" w:cstheme="minorBidi"/>
                            <w:b/>
                            <w:bCs/>
                            <w:color w:val="000000"/>
                            <w:kern w:val="24"/>
                            <w:sz w:val="18"/>
                            <w:szCs w:val="18"/>
                          </w:rPr>
                          <w:t>Centrally managed</w:t>
                        </w:r>
                      </w:p>
                    </w:txbxContent>
                  </v:textbox>
                </v:oval>
                <w10:anchorlock/>
              </v:group>
            </w:pict>
          </mc:Fallback>
        </mc:AlternateContent>
      </w:r>
    </w:p>
    <w:p w14:paraId="1BB8B77F" w14:textId="77777777" w:rsidR="002F61BA" w:rsidRDefault="002F61BA" w:rsidP="002F61BA">
      <w:pPr>
        <w:pStyle w:val="Spacer"/>
        <w:rPr>
          <w:lang w:eastAsia="en-US"/>
        </w:rPr>
      </w:pPr>
    </w:p>
    <w:p w14:paraId="583AFF03" w14:textId="77777777" w:rsidR="00AD10B3" w:rsidRDefault="00AD10B3">
      <w:pPr>
        <w:spacing w:before="0" w:after="200"/>
        <w:rPr>
          <w:rFonts w:asciiTheme="majorHAnsi" w:eastAsiaTheme="majorEastAsia" w:hAnsiTheme="majorHAnsi" w:cstheme="majorBidi"/>
          <w:b/>
          <w:bCs/>
          <w:color w:val="0063A6" w:themeColor="accent1"/>
          <w:sz w:val="22"/>
          <w:szCs w:val="22"/>
        </w:rPr>
      </w:pPr>
      <w:bookmarkStart w:id="514" w:name="_Toc446079421"/>
      <w:r>
        <w:br w:type="page"/>
      </w:r>
    </w:p>
    <w:p w14:paraId="6A55F3A3" w14:textId="47C1ECC6" w:rsidR="002F61BA" w:rsidRPr="00EC5BE5" w:rsidRDefault="002F61BA" w:rsidP="000B672C">
      <w:pPr>
        <w:pStyle w:val="Heading3indent"/>
      </w:pPr>
      <w:r>
        <w:lastRenderedPageBreak/>
        <w:t xml:space="preserve">How the three components of the </w:t>
      </w:r>
      <w:r w:rsidR="003F0A08">
        <w:t>State Administration Unit</w:t>
      </w:r>
      <w:r>
        <w:t xml:space="preserve"> interact</w:t>
      </w:r>
      <w:bookmarkEnd w:id="514"/>
    </w:p>
    <w:p w14:paraId="7E7098C4" w14:textId="77777777" w:rsidR="002F61BA" w:rsidRDefault="002F61BA" w:rsidP="002F61BA">
      <w:pPr>
        <w:pStyle w:val="NormalIndent"/>
        <w:rPr>
          <w:lang w:eastAsia="en-US"/>
        </w:rPr>
      </w:pPr>
      <w:r>
        <w:rPr>
          <w:lang w:eastAsia="en-US"/>
        </w:rPr>
        <w:t>The following section seeks to explain the SAU’s workings through a hypothetical set of transactions.</w:t>
      </w:r>
    </w:p>
    <w:tbl>
      <w:tblPr>
        <w:tblStyle w:val="DTFtexttable"/>
        <w:tblW w:w="0" w:type="auto"/>
        <w:tblInd w:w="867" w:type="dxa"/>
        <w:tblLayout w:type="fixed"/>
        <w:tblLook w:val="0620" w:firstRow="1" w:lastRow="0" w:firstColumn="0" w:lastColumn="0" w:noHBand="1" w:noVBand="1"/>
      </w:tblPr>
      <w:tblGrid>
        <w:gridCol w:w="3060"/>
        <w:gridCol w:w="2610"/>
        <w:gridCol w:w="1440"/>
        <w:gridCol w:w="933"/>
      </w:tblGrid>
      <w:tr w:rsidR="002F61BA" w:rsidRPr="00892281" w14:paraId="23D16FCB" w14:textId="77777777" w:rsidTr="003D272A">
        <w:trPr>
          <w:cnfStyle w:val="100000000000" w:firstRow="1" w:lastRow="0" w:firstColumn="0" w:lastColumn="0" w:oddVBand="0" w:evenVBand="0" w:oddHBand="0" w:evenHBand="0" w:firstRowFirstColumn="0" w:firstRowLastColumn="0" w:lastRowFirstColumn="0" w:lastRowLastColumn="0"/>
        </w:trPr>
        <w:tc>
          <w:tcPr>
            <w:tcW w:w="3060" w:type="dxa"/>
          </w:tcPr>
          <w:p w14:paraId="40A18E44" w14:textId="77777777" w:rsidR="002F61BA" w:rsidRPr="00892281" w:rsidRDefault="002F61BA" w:rsidP="00BB457D">
            <w:pPr>
              <w:pStyle w:val="Tableheader"/>
              <w:rPr>
                <w:b w:val="0"/>
              </w:rPr>
            </w:pPr>
            <w:r>
              <w:t>Transaction</w:t>
            </w:r>
            <w:r w:rsidRPr="00892281">
              <w:t>/event</w:t>
            </w:r>
          </w:p>
        </w:tc>
        <w:tc>
          <w:tcPr>
            <w:tcW w:w="2610" w:type="dxa"/>
          </w:tcPr>
          <w:p w14:paraId="10DB924F" w14:textId="77777777" w:rsidR="002F61BA" w:rsidRPr="00892281" w:rsidRDefault="002F61BA" w:rsidP="00BB457D">
            <w:pPr>
              <w:pStyle w:val="Tableheader"/>
              <w:rPr>
                <w:b w:val="0"/>
              </w:rPr>
            </w:pPr>
            <w:r w:rsidRPr="00892281">
              <w:t>Entity</w:t>
            </w:r>
          </w:p>
        </w:tc>
        <w:tc>
          <w:tcPr>
            <w:tcW w:w="1440" w:type="dxa"/>
          </w:tcPr>
          <w:p w14:paraId="52889EBD" w14:textId="77777777" w:rsidR="002F61BA" w:rsidRPr="00892281" w:rsidRDefault="002F61BA" w:rsidP="00BB457D">
            <w:pPr>
              <w:pStyle w:val="Tableheader"/>
              <w:rPr>
                <w:b w:val="0"/>
              </w:rPr>
            </w:pPr>
            <w:r w:rsidRPr="00892281">
              <w:t>Account</w:t>
            </w:r>
          </w:p>
        </w:tc>
        <w:tc>
          <w:tcPr>
            <w:tcW w:w="933" w:type="dxa"/>
          </w:tcPr>
          <w:p w14:paraId="5E3EA1C8" w14:textId="77777777" w:rsidR="002F61BA" w:rsidRPr="00892281" w:rsidRDefault="002F61BA" w:rsidP="00BB457D">
            <w:pPr>
              <w:pStyle w:val="Tableheader"/>
              <w:rPr>
                <w:b w:val="0"/>
              </w:rPr>
            </w:pPr>
            <w:r w:rsidRPr="00892281">
              <w:t>Amount</w:t>
            </w:r>
          </w:p>
        </w:tc>
      </w:tr>
      <w:tr w:rsidR="002F61BA" w14:paraId="68035620" w14:textId="77777777" w:rsidTr="003D272A">
        <w:tc>
          <w:tcPr>
            <w:tcW w:w="3060" w:type="dxa"/>
          </w:tcPr>
          <w:p w14:paraId="34BA7512" w14:textId="77777777" w:rsidR="002F61BA" w:rsidRDefault="002F61BA" w:rsidP="00BB457D">
            <w:pPr>
              <w:pStyle w:val="Tabletext"/>
            </w:pPr>
            <w:r>
              <w:t>Receipt of taxation revenue by DTF (administered entity)</w:t>
            </w:r>
          </w:p>
        </w:tc>
        <w:tc>
          <w:tcPr>
            <w:tcW w:w="2610" w:type="dxa"/>
          </w:tcPr>
          <w:p w14:paraId="702A0176" w14:textId="77777777" w:rsidR="002F61BA" w:rsidRDefault="002F61BA" w:rsidP="00BB457D">
            <w:pPr>
              <w:pStyle w:val="Tabletext"/>
            </w:pPr>
            <w:r>
              <w:t>7100 (SAU branch ledger)</w:t>
            </w:r>
          </w:p>
        </w:tc>
        <w:tc>
          <w:tcPr>
            <w:tcW w:w="1440" w:type="dxa"/>
          </w:tcPr>
          <w:p w14:paraId="1687087A" w14:textId="77777777" w:rsidR="002F61BA" w:rsidRDefault="002F61BA" w:rsidP="00BB457D">
            <w:pPr>
              <w:pStyle w:val="Tabletext"/>
            </w:pPr>
            <w:r>
              <w:t>6xxxx (Revenue)</w:t>
            </w:r>
          </w:p>
        </w:tc>
        <w:tc>
          <w:tcPr>
            <w:tcW w:w="933" w:type="dxa"/>
          </w:tcPr>
          <w:p w14:paraId="555CE67E" w14:textId="77777777" w:rsidR="002F61BA" w:rsidRDefault="002F61BA" w:rsidP="003D272A">
            <w:pPr>
              <w:pStyle w:val="Tabletext"/>
              <w:jc w:val="right"/>
            </w:pPr>
            <w:r>
              <w:t>-1000</w:t>
            </w:r>
          </w:p>
        </w:tc>
      </w:tr>
      <w:tr w:rsidR="002F61BA" w14:paraId="32E20CBB" w14:textId="77777777" w:rsidTr="003D272A">
        <w:tc>
          <w:tcPr>
            <w:tcW w:w="3060" w:type="dxa"/>
          </w:tcPr>
          <w:p w14:paraId="630BE81C" w14:textId="4A4C67B9" w:rsidR="002F61BA" w:rsidRDefault="002F61BA" w:rsidP="00BB457D">
            <w:pPr>
              <w:pStyle w:val="Tabletext"/>
            </w:pPr>
            <w:r>
              <w:t>Submission of tax revenue to Cons</w:t>
            </w:r>
            <w:r w:rsidR="003F0A08">
              <w:t>olidated</w:t>
            </w:r>
            <w:r>
              <w:t xml:space="preserve"> Fund (via SAU)</w:t>
            </w:r>
          </w:p>
        </w:tc>
        <w:tc>
          <w:tcPr>
            <w:tcW w:w="2610" w:type="dxa"/>
          </w:tcPr>
          <w:p w14:paraId="5AD455E2" w14:textId="77777777" w:rsidR="002F61BA" w:rsidRDefault="002F61BA" w:rsidP="00BB457D">
            <w:pPr>
              <w:pStyle w:val="Tabletext"/>
            </w:pPr>
            <w:r>
              <w:t>7100 (SAU branch ledger)</w:t>
            </w:r>
          </w:p>
        </w:tc>
        <w:tc>
          <w:tcPr>
            <w:tcW w:w="1440" w:type="dxa"/>
          </w:tcPr>
          <w:p w14:paraId="1EEFA588" w14:textId="77777777" w:rsidR="002F61BA" w:rsidRDefault="002F61BA" w:rsidP="00BB457D">
            <w:pPr>
              <w:pStyle w:val="Tabletext"/>
            </w:pPr>
            <w:r>
              <w:t>90500</w:t>
            </w:r>
          </w:p>
        </w:tc>
        <w:tc>
          <w:tcPr>
            <w:tcW w:w="933" w:type="dxa"/>
          </w:tcPr>
          <w:p w14:paraId="6AAE117E" w14:textId="77777777" w:rsidR="002F61BA" w:rsidRDefault="002F61BA" w:rsidP="003D272A">
            <w:pPr>
              <w:pStyle w:val="Tabletext"/>
              <w:jc w:val="right"/>
            </w:pPr>
            <w:r>
              <w:t>+1000</w:t>
            </w:r>
          </w:p>
        </w:tc>
      </w:tr>
      <w:tr w:rsidR="002F61BA" w14:paraId="27939342" w14:textId="77777777" w:rsidTr="003D272A">
        <w:tc>
          <w:tcPr>
            <w:tcW w:w="3060" w:type="dxa"/>
          </w:tcPr>
          <w:p w14:paraId="250F2260" w14:textId="77777777" w:rsidR="002F61BA" w:rsidRDefault="002F61BA" w:rsidP="00BB457D">
            <w:pPr>
              <w:pStyle w:val="Tabletext"/>
            </w:pPr>
            <w:r>
              <w:t>Receipt of taxation revenue by the SAU</w:t>
            </w:r>
          </w:p>
        </w:tc>
        <w:tc>
          <w:tcPr>
            <w:tcW w:w="2610" w:type="dxa"/>
          </w:tcPr>
          <w:p w14:paraId="50A67871" w14:textId="77777777" w:rsidR="002F61BA" w:rsidRDefault="002F61BA" w:rsidP="00BB457D">
            <w:pPr>
              <w:pStyle w:val="Tabletext"/>
            </w:pPr>
            <w:r>
              <w:t>9200 (SAU central agency)</w:t>
            </w:r>
          </w:p>
        </w:tc>
        <w:tc>
          <w:tcPr>
            <w:tcW w:w="1440" w:type="dxa"/>
          </w:tcPr>
          <w:p w14:paraId="1D677067" w14:textId="77777777" w:rsidR="002F61BA" w:rsidRDefault="002F61BA" w:rsidP="00BB457D">
            <w:pPr>
              <w:pStyle w:val="Tabletext"/>
            </w:pPr>
            <w:r>
              <w:t>70570</w:t>
            </w:r>
          </w:p>
        </w:tc>
        <w:tc>
          <w:tcPr>
            <w:tcW w:w="933" w:type="dxa"/>
          </w:tcPr>
          <w:p w14:paraId="244FE1BB" w14:textId="77777777" w:rsidR="002F61BA" w:rsidRDefault="002F61BA" w:rsidP="003D272A">
            <w:pPr>
              <w:pStyle w:val="Tabletext"/>
              <w:jc w:val="right"/>
            </w:pPr>
            <w:r>
              <w:t>-1000</w:t>
            </w:r>
          </w:p>
        </w:tc>
      </w:tr>
      <w:tr w:rsidR="002F61BA" w14:paraId="51FE4F31" w14:textId="77777777" w:rsidTr="003D272A">
        <w:tc>
          <w:tcPr>
            <w:tcW w:w="3060" w:type="dxa"/>
          </w:tcPr>
          <w:p w14:paraId="63851A06" w14:textId="77777777" w:rsidR="002F61BA" w:rsidRDefault="002F61BA" w:rsidP="00BB457D">
            <w:pPr>
              <w:pStyle w:val="Tabletext"/>
            </w:pPr>
            <w:r>
              <w:t>Recognition of funds in the State’s bank account</w:t>
            </w:r>
          </w:p>
        </w:tc>
        <w:tc>
          <w:tcPr>
            <w:tcW w:w="2610" w:type="dxa"/>
          </w:tcPr>
          <w:p w14:paraId="04444A39" w14:textId="77777777" w:rsidR="002F61BA" w:rsidRDefault="002F61BA" w:rsidP="00BB457D">
            <w:pPr>
              <w:pStyle w:val="Tabletext"/>
            </w:pPr>
            <w:r>
              <w:t>9200 (SAU central agency)</w:t>
            </w:r>
          </w:p>
        </w:tc>
        <w:tc>
          <w:tcPr>
            <w:tcW w:w="1440" w:type="dxa"/>
          </w:tcPr>
          <w:p w14:paraId="4AE031B7" w14:textId="77777777" w:rsidR="002F61BA" w:rsidRDefault="002F61BA" w:rsidP="00BB457D">
            <w:pPr>
              <w:pStyle w:val="Tabletext"/>
            </w:pPr>
            <w:r>
              <w:t>10230 (Bank)</w:t>
            </w:r>
          </w:p>
        </w:tc>
        <w:tc>
          <w:tcPr>
            <w:tcW w:w="933" w:type="dxa"/>
          </w:tcPr>
          <w:p w14:paraId="15E01E7D" w14:textId="77777777" w:rsidR="002F61BA" w:rsidRDefault="002F61BA" w:rsidP="003D272A">
            <w:pPr>
              <w:pStyle w:val="Tabletext"/>
              <w:jc w:val="right"/>
            </w:pPr>
            <w:r>
              <w:t>+1000</w:t>
            </w:r>
          </w:p>
        </w:tc>
      </w:tr>
      <w:tr w:rsidR="002F61BA" w:rsidRPr="00A13839" w14:paraId="02A65A6B" w14:textId="77777777" w:rsidTr="003D272A">
        <w:tc>
          <w:tcPr>
            <w:tcW w:w="8043" w:type="dxa"/>
            <w:gridSpan w:val="4"/>
          </w:tcPr>
          <w:p w14:paraId="2430E3F8" w14:textId="77777777" w:rsidR="002F61BA" w:rsidRPr="00061C0B" w:rsidRDefault="002F61BA" w:rsidP="00BB457D">
            <w:pPr>
              <w:pStyle w:val="Tabletext"/>
              <w:rPr>
                <w:b/>
              </w:rPr>
            </w:pPr>
            <w:r w:rsidRPr="00061C0B">
              <w:rPr>
                <w:b/>
              </w:rPr>
              <w:t>Funds appropriated for expenses (cash items)</w:t>
            </w:r>
          </w:p>
        </w:tc>
      </w:tr>
      <w:tr w:rsidR="002F61BA" w14:paraId="5248D74E" w14:textId="77777777" w:rsidTr="003D272A">
        <w:tc>
          <w:tcPr>
            <w:tcW w:w="3060" w:type="dxa"/>
          </w:tcPr>
          <w:p w14:paraId="42E76CA0" w14:textId="77777777" w:rsidR="002F61BA" w:rsidRDefault="002F61BA" w:rsidP="00BB457D">
            <w:pPr>
              <w:pStyle w:val="Tabletext"/>
            </w:pPr>
            <w:r>
              <w:t>Drawdown from bank account</w:t>
            </w:r>
          </w:p>
        </w:tc>
        <w:tc>
          <w:tcPr>
            <w:tcW w:w="2610" w:type="dxa"/>
          </w:tcPr>
          <w:p w14:paraId="433F00FB" w14:textId="77777777" w:rsidR="002F61BA" w:rsidRDefault="002F61BA" w:rsidP="00BB457D">
            <w:pPr>
              <w:pStyle w:val="Tabletext"/>
            </w:pPr>
            <w:r w:rsidRPr="00D60325">
              <w:t>9200 (SAU central agency)</w:t>
            </w:r>
          </w:p>
        </w:tc>
        <w:tc>
          <w:tcPr>
            <w:tcW w:w="1440" w:type="dxa"/>
          </w:tcPr>
          <w:p w14:paraId="63157945" w14:textId="77777777" w:rsidR="002F61BA" w:rsidRDefault="002F61BA" w:rsidP="00BB457D">
            <w:pPr>
              <w:pStyle w:val="Tabletext"/>
            </w:pPr>
            <w:r>
              <w:t>10230 (Bank)</w:t>
            </w:r>
          </w:p>
        </w:tc>
        <w:tc>
          <w:tcPr>
            <w:tcW w:w="933" w:type="dxa"/>
          </w:tcPr>
          <w:p w14:paraId="49DA2EF9" w14:textId="77777777" w:rsidR="002F61BA" w:rsidRDefault="002F61BA" w:rsidP="003D272A">
            <w:pPr>
              <w:pStyle w:val="Tabletext"/>
              <w:jc w:val="right"/>
            </w:pPr>
            <w:r>
              <w:t>-200</w:t>
            </w:r>
          </w:p>
        </w:tc>
      </w:tr>
      <w:tr w:rsidR="002F61BA" w14:paraId="5F440E97" w14:textId="77777777" w:rsidTr="003D272A">
        <w:tc>
          <w:tcPr>
            <w:tcW w:w="3060" w:type="dxa"/>
          </w:tcPr>
          <w:p w14:paraId="4F78A4CD" w14:textId="77777777" w:rsidR="002F61BA" w:rsidRDefault="002F61BA" w:rsidP="00BB457D">
            <w:pPr>
              <w:pStyle w:val="Tabletext"/>
            </w:pPr>
            <w:r>
              <w:t>Transfer to Department</w:t>
            </w:r>
          </w:p>
        </w:tc>
        <w:tc>
          <w:tcPr>
            <w:tcW w:w="2610" w:type="dxa"/>
          </w:tcPr>
          <w:p w14:paraId="625721AA" w14:textId="77777777" w:rsidR="002F61BA" w:rsidRDefault="002F61BA" w:rsidP="00BB457D">
            <w:pPr>
              <w:pStyle w:val="Tabletext"/>
            </w:pPr>
            <w:r w:rsidRPr="00D60325">
              <w:t>9200 (SAU central agency)</w:t>
            </w:r>
          </w:p>
        </w:tc>
        <w:tc>
          <w:tcPr>
            <w:tcW w:w="1440" w:type="dxa"/>
          </w:tcPr>
          <w:p w14:paraId="43B364C1" w14:textId="77777777" w:rsidR="002F61BA" w:rsidRDefault="002F61BA" w:rsidP="00BB457D">
            <w:pPr>
              <w:pStyle w:val="Tabletext"/>
            </w:pPr>
            <w:r>
              <w:t>86500</w:t>
            </w:r>
          </w:p>
        </w:tc>
        <w:tc>
          <w:tcPr>
            <w:tcW w:w="933" w:type="dxa"/>
          </w:tcPr>
          <w:p w14:paraId="542D0C77" w14:textId="77777777" w:rsidR="002F61BA" w:rsidRDefault="002F61BA" w:rsidP="003D272A">
            <w:pPr>
              <w:pStyle w:val="Tabletext"/>
              <w:jc w:val="right"/>
            </w:pPr>
            <w:r>
              <w:t>+200</w:t>
            </w:r>
          </w:p>
        </w:tc>
      </w:tr>
      <w:tr w:rsidR="002F61BA" w14:paraId="6A7DB56B" w14:textId="77777777" w:rsidTr="003D272A">
        <w:tc>
          <w:tcPr>
            <w:tcW w:w="3060" w:type="dxa"/>
          </w:tcPr>
          <w:p w14:paraId="50F09D22" w14:textId="77777777" w:rsidR="002F61BA" w:rsidRDefault="002F61BA" w:rsidP="00BB457D">
            <w:pPr>
              <w:pStyle w:val="Tabletext"/>
            </w:pPr>
            <w:r>
              <w:t>Appropriation drawn down by Department</w:t>
            </w:r>
          </w:p>
        </w:tc>
        <w:tc>
          <w:tcPr>
            <w:tcW w:w="2610" w:type="dxa"/>
          </w:tcPr>
          <w:p w14:paraId="39C8F8DE" w14:textId="77777777" w:rsidR="002F61BA" w:rsidRDefault="002F61BA" w:rsidP="00BB457D">
            <w:pPr>
              <w:pStyle w:val="Tabletext"/>
            </w:pPr>
            <w:r>
              <w:t>Controlled Dept. Entity</w:t>
            </w:r>
          </w:p>
        </w:tc>
        <w:tc>
          <w:tcPr>
            <w:tcW w:w="1440" w:type="dxa"/>
          </w:tcPr>
          <w:p w14:paraId="6E003C7B" w14:textId="77777777" w:rsidR="002F61BA" w:rsidRDefault="002F61BA" w:rsidP="00BB457D">
            <w:pPr>
              <w:pStyle w:val="Tabletext"/>
            </w:pPr>
            <w:r>
              <w:t>71200</w:t>
            </w:r>
          </w:p>
        </w:tc>
        <w:tc>
          <w:tcPr>
            <w:tcW w:w="933" w:type="dxa"/>
          </w:tcPr>
          <w:p w14:paraId="1A1D20BD" w14:textId="77777777" w:rsidR="002F61BA" w:rsidRDefault="002F61BA" w:rsidP="003D272A">
            <w:pPr>
              <w:pStyle w:val="Tabletext"/>
              <w:jc w:val="right"/>
            </w:pPr>
            <w:r>
              <w:t>-200</w:t>
            </w:r>
          </w:p>
        </w:tc>
      </w:tr>
      <w:tr w:rsidR="002F61BA" w14:paraId="283E3237" w14:textId="77777777" w:rsidTr="003D272A">
        <w:tc>
          <w:tcPr>
            <w:tcW w:w="3060" w:type="dxa"/>
          </w:tcPr>
          <w:p w14:paraId="73A5C400" w14:textId="77777777" w:rsidR="002F61BA" w:rsidRDefault="002F61BA" w:rsidP="00BB457D">
            <w:pPr>
              <w:pStyle w:val="Tabletext"/>
            </w:pPr>
            <w:r>
              <w:t>Expense incurred</w:t>
            </w:r>
          </w:p>
        </w:tc>
        <w:tc>
          <w:tcPr>
            <w:tcW w:w="2610" w:type="dxa"/>
          </w:tcPr>
          <w:p w14:paraId="395D370D" w14:textId="77777777" w:rsidR="002F61BA" w:rsidRDefault="002F61BA" w:rsidP="00BB457D">
            <w:pPr>
              <w:pStyle w:val="Tabletext"/>
            </w:pPr>
            <w:r>
              <w:t>Controlled Dept. Entity</w:t>
            </w:r>
          </w:p>
        </w:tc>
        <w:tc>
          <w:tcPr>
            <w:tcW w:w="1440" w:type="dxa"/>
          </w:tcPr>
          <w:p w14:paraId="4815BBB9" w14:textId="77777777" w:rsidR="002F61BA" w:rsidRDefault="002F61BA" w:rsidP="00BB457D">
            <w:pPr>
              <w:pStyle w:val="Tabletext"/>
            </w:pPr>
            <w:r>
              <w:t>86000</w:t>
            </w:r>
          </w:p>
        </w:tc>
        <w:tc>
          <w:tcPr>
            <w:tcW w:w="933" w:type="dxa"/>
          </w:tcPr>
          <w:p w14:paraId="04CF856C" w14:textId="77777777" w:rsidR="002F61BA" w:rsidRDefault="002F61BA" w:rsidP="003D272A">
            <w:pPr>
              <w:pStyle w:val="Tabletext"/>
              <w:jc w:val="right"/>
            </w:pPr>
            <w:r>
              <w:t>+200</w:t>
            </w:r>
          </w:p>
        </w:tc>
      </w:tr>
      <w:tr w:rsidR="002F61BA" w:rsidRPr="00A13839" w14:paraId="60223EF5" w14:textId="77777777" w:rsidTr="003D272A">
        <w:tc>
          <w:tcPr>
            <w:tcW w:w="8043" w:type="dxa"/>
            <w:gridSpan w:val="4"/>
          </w:tcPr>
          <w:p w14:paraId="7519215F" w14:textId="77777777" w:rsidR="002F61BA" w:rsidRPr="00A13839" w:rsidRDefault="002F61BA" w:rsidP="00BB457D">
            <w:pPr>
              <w:pStyle w:val="Tabletext"/>
              <w:rPr>
                <w:b/>
              </w:rPr>
            </w:pPr>
            <w:r w:rsidRPr="00A13839">
              <w:rPr>
                <w:b/>
              </w:rPr>
              <w:t>Funds appropriated for expenses (non-cash items)</w:t>
            </w:r>
          </w:p>
        </w:tc>
      </w:tr>
      <w:tr w:rsidR="002F61BA" w14:paraId="0366EA65" w14:textId="77777777" w:rsidTr="003D272A">
        <w:tc>
          <w:tcPr>
            <w:tcW w:w="3060" w:type="dxa"/>
          </w:tcPr>
          <w:p w14:paraId="1CD62A2D" w14:textId="77777777" w:rsidR="002F61BA" w:rsidRDefault="002F61BA" w:rsidP="00BB457D">
            <w:pPr>
              <w:pStyle w:val="Tabletext"/>
            </w:pPr>
            <w:r>
              <w:t>Drawdown from bank account</w:t>
            </w:r>
          </w:p>
        </w:tc>
        <w:tc>
          <w:tcPr>
            <w:tcW w:w="2610" w:type="dxa"/>
          </w:tcPr>
          <w:p w14:paraId="5F1CCCC6" w14:textId="77777777" w:rsidR="002F61BA" w:rsidRDefault="002F61BA" w:rsidP="00BB457D">
            <w:pPr>
              <w:pStyle w:val="Tabletext"/>
            </w:pPr>
            <w:r w:rsidRPr="00D60325">
              <w:t>9200 (SAU central agency)</w:t>
            </w:r>
          </w:p>
        </w:tc>
        <w:tc>
          <w:tcPr>
            <w:tcW w:w="1440" w:type="dxa"/>
          </w:tcPr>
          <w:p w14:paraId="6EE8AC42" w14:textId="77777777" w:rsidR="002F61BA" w:rsidRDefault="002F61BA" w:rsidP="00BB457D">
            <w:pPr>
              <w:pStyle w:val="Tabletext"/>
            </w:pPr>
            <w:r>
              <w:t>10230 (Bank)</w:t>
            </w:r>
          </w:p>
        </w:tc>
        <w:tc>
          <w:tcPr>
            <w:tcW w:w="933" w:type="dxa"/>
          </w:tcPr>
          <w:p w14:paraId="6F254221" w14:textId="77777777" w:rsidR="002F61BA" w:rsidRDefault="002F61BA" w:rsidP="003D272A">
            <w:pPr>
              <w:pStyle w:val="Tabletext"/>
              <w:jc w:val="right"/>
            </w:pPr>
            <w:r>
              <w:t>-400</w:t>
            </w:r>
          </w:p>
        </w:tc>
      </w:tr>
      <w:tr w:rsidR="002F61BA" w14:paraId="50712BFB" w14:textId="77777777" w:rsidTr="003D272A">
        <w:tc>
          <w:tcPr>
            <w:tcW w:w="3060" w:type="dxa"/>
          </w:tcPr>
          <w:p w14:paraId="1E3AE8A7" w14:textId="77777777" w:rsidR="002F61BA" w:rsidRDefault="002F61BA" w:rsidP="00BB457D">
            <w:pPr>
              <w:pStyle w:val="Tabletext"/>
            </w:pPr>
            <w:r>
              <w:t>Transfer to Department</w:t>
            </w:r>
          </w:p>
        </w:tc>
        <w:tc>
          <w:tcPr>
            <w:tcW w:w="2610" w:type="dxa"/>
          </w:tcPr>
          <w:p w14:paraId="54FC1ED7" w14:textId="77777777" w:rsidR="002F61BA" w:rsidRDefault="002F61BA" w:rsidP="00BB457D">
            <w:pPr>
              <w:pStyle w:val="Tabletext"/>
            </w:pPr>
            <w:r>
              <w:t xml:space="preserve">9200 </w:t>
            </w:r>
            <w:r w:rsidRPr="00D60325">
              <w:t>(SAU central agency)</w:t>
            </w:r>
          </w:p>
        </w:tc>
        <w:tc>
          <w:tcPr>
            <w:tcW w:w="1440" w:type="dxa"/>
          </w:tcPr>
          <w:p w14:paraId="67380594" w14:textId="77777777" w:rsidR="002F61BA" w:rsidRDefault="002F61BA" w:rsidP="00BB457D">
            <w:pPr>
              <w:pStyle w:val="Tabletext"/>
            </w:pPr>
            <w:r>
              <w:t>86500</w:t>
            </w:r>
          </w:p>
        </w:tc>
        <w:tc>
          <w:tcPr>
            <w:tcW w:w="933" w:type="dxa"/>
          </w:tcPr>
          <w:p w14:paraId="6B3AF90C" w14:textId="77777777" w:rsidR="002F61BA" w:rsidRDefault="002F61BA" w:rsidP="003D272A">
            <w:pPr>
              <w:pStyle w:val="Tabletext"/>
              <w:jc w:val="right"/>
            </w:pPr>
            <w:r>
              <w:t>+400</w:t>
            </w:r>
          </w:p>
        </w:tc>
      </w:tr>
      <w:tr w:rsidR="002F61BA" w14:paraId="35D0F9A2" w14:textId="77777777" w:rsidTr="003D272A">
        <w:tc>
          <w:tcPr>
            <w:tcW w:w="3060" w:type="dxa"/>
          </w:tcPr>
          <w:p w14:paraId="20B1284F" w14:textId="77777777" w:rsidR="002F61BA" w:rsidRDefault="002F61BA" w:rsidP="00BB457D">
            <w:pPr>
              <w:pStyle w:val="Tabletext"/>
            </w:pPr>
            <w:r>
              <w:t>Appropriation drawn down</w:t>
            </w:r>
          </w:p>
        </w:tc>
        <w:tc>
          <w:tcPr>
            <w:tcW w:w="2610" w:type="dxa"/>
          </w:tcPr>
          <w:p w14:paraId="4764164C" w14:textId="77777777" w:rsidR="002F61BA" w:rsidRDefault="002F61BA" w:rsidP="00BB457D">
            <w:pPr>
              <w:pStyle w:val="Tabletext"/>
            </w:pPr>
            <w:r>
              <w:t>Controlled Dept. Entity</w:t>
            </w:r>
          </w:p>
        </w:tc>
        <w:tc>
          <w:tcPr>
            <w:tcW w:w="1440" w:type="dxa"/>
          </w:tcPr>
          <w:p w14:paraId="65B832E8" w14:textId="77777777" w:rsidR="002F61BA" w:rsidRDefault="002F61BA" w:rsidP="00BB457D">
            <w:pPr>
              <w:pStyle w:val="Tabletext"/>
            </w:pPr>
            <w:r>
              <w:t>71200</w:t>
            </w:r>
          </w:p>
        </w:tc>
        <w:tc>
          <w:tcPr>
            <w:tcW w:w="933" w:type="dxa"/>
          </w:tcPr>
          <w:p w14:paraId="6685CB31" w14:textId="77777777" w:rsidR="002F61BA" w:rsidRDefault="002F61BA" w:rsidP="003D272A">
            <w:pPr>
              <w:pStyle w:val="Tabletext"/>
              <w:jc w:val="right"/>
            </w:pPr>
            <w:r>
              <w:t>-400</w:t>
            </w:r>
          </w:p>
        </w:tc>
      </w:tr>
      <w:tr w:rsidR="002F61BA" w14:paraId="43EA899B" w14:textId="77777777" w:rsidTr="003D272A">
        <w:tc>
          <w:tcPr>
            <w:tcW w:w="3060" w:type="dxa"/>
          </w:tcPr>
          <w:p w14:paraId="2D0585BB" w14:textId="77777777" w:rsidR="002F61BA" w:rsidRDefault="002F61BA" w:rsidP="00BB457D">
            <w:pPr>
              <w:pStyle w:val="Tabletext"/>
            </w:pPr>
            <w:r>
              <w:t>Increase in Departmental SAU Inter entity account</w:t>
            </w:r>
          </w:p>
        </w:tc>
        <w:tc>
          <w:tcPr>
            <w:tcW w:w="2610" w:type="dxa"/>
          </w:tcPr>
          <w:p w14:paraId="47E83485" w14:textId="77777777" w:rsidR="002F61BA" w:rsidRDefault="002F61BA" w:rsidP="00BB457D">
            <w:pPr>
              <w:pStyle w:val="Tabletext"/>
            </w:pPr>
            <w:r>
              <w:t>Controlled Dept. Entity</w:t>
            </w:r>
          </w:p>
        </w:tc>
        <w:tc>
          <w:tcPr>
            <w:tcW w:w="1440" w:type="dxa"/>
          </w:tcPr>
          <w:p w14:paraId="3233A723" w14:textId="77777777" w:rsidR="002F61BA" w:rsidRDefault="002F61BA" w:rsidP="00BB457D">
            <w:pPr>
              <w:pStyle w:val="Tabletext"/>
            </w:pPr>
            <w:r>
              <w:t>45000 (SAU Inter-entity account)</w:t>
            </w:r>
          </w:p>
        </w:tc>
        <w:tc>
          <w:tcPr>
            <w:tcW w:w="933" w:type="dxa"/>
          </w:tcPr>
          <w:p w14:paraId="029FB4DF" w14:textId="77777777" w:rsidR="002F61BA" w:rsidRDefault="002F61BA" w:rsidP="003D272A">
            <w:pPr>
              <w:pStyle w:val="Tabletext"/>
              <w:jc w:val="right"/>
            </w:pPr>
            <w:r>
              <w:t>+400</w:t>
            </w:r>
          </w:p>
        </w:tc>
      </w:tr>
      <w:tr w:rsidR="002F61BA" w14:paraId="35B79117" w14:textId="77777777" w:rsidTr="003D272A">
        <w:tc>
          <w:tcPr>
            <w:tcW w:w="3060" w:type="dxa"/>
          </w:tcPr>
          <w:p w14:paraId="17ADDACD" w14:textId="77777777" w:rsidR="002F61BA" w:rsidRDefault="002F61BA" w:rsidP="00BB457D">
            <w:pPr>
              <w:pStyle w:val="Tabletext"/>
            </w:pPr>
            <w:r>
              <w:t>Depreciation expense incurred</w:t>
            </w:r>
          </w:p>
        </w:tc>
        <w:tc>
          <w:tcPr>
            <w:tcW w:w="2610" w:type="dxa"/>
          </w:tcPr>
          <w:p w14:paraId="03AFACA3" w14:textId="77777777" w:rsidR="002F61BA" w:rsidRDefault="002F61BA" w:rsidP="00BB457D">
            <w:pPr>
              <w:pStyle w:val="Tabletext"/>
            </w:pPr>
            <w:r>
              <w:t>Controlled Dept. Entity</w:t>
            </w:r>
          </w:p>
        </w:tc>
        <w:tc>
          <w:tcPr>
            <w:tcW w:w="1440" w:type="dxa"/>
          </w:tcPr>
          <w:p w14:paraId="057EAB9B" w14:textId="77777777" w:rsidR="002F61BA" w:rsidRDefault="002F61BA" w:rsidP="00BB457D">
            <w:pPr>
              <w:pStyle w:val="Tabletext"/>
            </w:pPr>
            <w:r>
              <w:t>81xxx</w:t>
            </w:r>
          </w:p>
        </w:tc>
        <w:tc>
          <w:tcPr>
            <w:tcW w:w="933" w:type="dxa"/>
          </w:tcPr>
          <w:p w14:paraId="678A0A3C" w14:textId="77777777" w:rsidR="002F61BA" w:rsidRDefault="002F61BA" w:rsidP="003D272A">
            <w:pPr>
              <w:pStyle w:val="Tabletext"/>
              <w:jc w:val="right"/>
            </w:pPr>
            <w:r>
              <w:t>+400</w:t>
            </w:r>
          </w:p>
        </w:tc>
      </w:tr>
      <w:tr w:rsidR="002F61BA" w14:paraId="6A5D129F" w14:textId="77777777" w:rsidTr="003D272A">
        <w:tc>
          <w:tcPr>
            <w:tcW w:w="3060" w:type="dxa"/>
          </w:tcPr>
          <w:p w14:paraId="5E45EB68" w14:textId="77777777" w:rsidR="002F61BA" w:rsidRDefault="002F61BA" w:rsidP="00BB457D">
            <w:pPr>
              <w:pStyle w:val="Tabletext"/>
            </w:pPr>
            <w:r>
              <w:t>Recognition of accumulated depreciation (contra-asset)</w:t>
            </w:r>
          </w:p>
        </w:tc>
        <w:tc>
          <w:tcPr>
            <w:tcW w:w="2610" w:type="dxa"/>
          </w:tcPr>
          <w:p w14:paraId="3B64DCA2" w14:textId="77777777" w:rsidR="002F61BA" w:rsidRDefault="002F61BA" w:rsidP="00BB457D">
            <w:pPr>
              <w:pStyle w:val="Tabletext"/>
            </w:pPr>
            <w:r>
              <w:t>Controlled Dept. Entity</w:t>
            </w:r>
          </w:p>
        </w:tc>
        <w:tc>
          <w:tcPr>
            <w:tcW w:w="1440" w:type="dxa"/>
          </w:tcPr>
          <w:p w14:paraId="27710340" w14:textId="77777777" w:rsidR="002F61BA" w:rsidRDefault="002F61BA" w:rsidP="00BB457D">
            <w:pPr>
              <w:pStyle w:val="Tabletext"/>
            </w:pPr>
            <w:r>
              <w:t>2xxxx</w:t>
            </w:r>
          </w:p>
        </w:tc>
        <w:tc>
          <w:tcPr>
            <w:tcW w:w="933" w:type="dxa"/>
          </w:tcPr>
          <w:p w14:paraId="35968445" w14:textId="77777777" w:rsidR="002F61BA" w:rsidRDefault="002F61BA" w:rsidP="003D272A">
            <w:pPr>
              <w:pStyle w:val="Tabletext"/>
              <w:jc w:val="right"/>
            </w:pPr>
            <w:r>
              <w:t>-400</w:t>
            </w:r>
          </w:p>
        </w:tc>
      </w:tr>
    </w:tbl>
    <w:p w14:paraId="0FA04983" w14:textId="77777777" w:rsidR="00C67945" w:rsidRDefault="00C67945" w:rsidP="00056F4E">
      <w:pPr>
        <w:pStyle w:val="Heading2indent"/>
      </w:pPr>
      <w:r>
        <w:t>Relevant materials</w:t>
      </w:r>
    </w:p>
    <w:p w14:paraId="1330E1B6" w14:textId="77777777" w:rsidR="00C67945" w:rsidRDefault="00C67945" w:rsidP="000B672C">
      <w:pPr>
        <w:pStyle w:val="Heading3indent"/>
      </w:pPr>
      <w:r>
        <w:t>Attachments</w:t>
      </w:r>
    </w:p>
    <w:p w14:paraId="554FC2A8" w14:textId="77777777" w:rsidR="00C67945" w:rsidRPr="005744AE" w:rsidRDefault="00C67945" w:rsidP="00C67945">
      <w:pPr>
        <w:pStyle w:val="Bulletindent"/>
        <w:rPr>
          <w:lang w:eastAsia="en-US"/>
        </w:rPr>
      </w:pPr>
      <w:r>
        <w:rPr>
          <w:lang w:eastAsia="en-US"/>
        </w:rPr>
        <w:t>Attachment 2</w:t>
      </w:r>
      <w:r w:rsidRPr="005744AE">
        <w:rPr>
          <w:lang w:eastAsia="en-US"/>
        </w:rPr>
        <w:t xml:space="preserve">: </w:t>
      </w:r>
      <w:r>
        <w:rPr>
          <w:i/>
          <w:lang w:eastAsia="en-US"/>
        </w:rPr>
        <w:t>The history of the establishment of the State Administration Unit</w:t>
      </w:r>
    </w:p>
    <w:p w14:paraId="6FEB8211" w14:textId="77777777" w:rsidR="002F61BA" w:rsidRDefault="002F61BA" w:rsidP="002F61BA">
      <w:pPr>
        <w:rPr>
          <w:lang w:eastAsia="en-US"/>
        </w:rPr>
      </w:pPr>
    </w:p>
    <w:p w14:paraId="38E9BA9D" w14:textId="77777777" w:rsidR="002F61BA" w:rsidRDefault="002F61BA" w:rsidP="002F61BA">
      <w:pPr>
        <w:spacing w:before="0" w:after="200"/>
        <w:rPr>
          <w:rFonts w:asciiTheme="majorHAnsi" w:eastAsiaTheme="majorEastAsia" w:hAnsiTheme="majorHAnsi" w:cstheme="majorBidi"/>
          <w:b/>
          <w:bCs/>
          <w:color w:val="0063A6" w:themeColor="accent1"/>
          <w:sz w:val="28"/>
          <w:szCs w:val="26"/>
        </w:rPr>
      </w:pPr>
      <w:bookmarkStart w:id="515" w:name="_Toc445459736"/>
      <w:r>
        <w:br w:type="page"/>
      </w:r>
    </w:p>
    <w:p w14:paraId="79A8FD5C" w14:textId="77777777" w:rsidR="002F61BA" w:rsidRDefault="002F61BA" w:rsidP="00696C7D">
      <w:pPr>
        <w:pStyle w:val="Heading2numbered"/>
      </w:pPr>
      <w:bookmarkStart w:id="516" w:name="_Toc446079422"/>
      <w:bookmarkStart w:id="517" w:name="_Toc476658153"/>
      <w:r>
        <w:lastRenderedPageBreak/>
        <w:t xml:space="preserve">The SAU </w:t>
      </w:r>
      <w:r w:rsidR="00F70D60">
        <w:t xml:space="preserve">inter-entity account </w:t>
      </w:r>
      <w:r w:rsidRPr="004879C4">
        <w:t>dissection</w:t>
      </w:r>
      <w:bookmarkEnd w:id="515"/>
      <w:bookmarkEnd w:id="516"/>
      <w:bookmarkEnd w:id="517"/>
    </w:p>
    <w:tbl>
      <w:tblPr>
        <w:tblStyle w:val="Mandatory"/>
        <w:tblW w:w="7483" w:type="dxa"/>
        <w:tblLook w:val="0620" w:firstRow="1" w:lastRow="0" w:firstColumn="0" w:lastColumn="0" w:noHBand="1" w:noVBand="1"/>
      </w:tblPr>
      <w:tblGrid>
        <w:gridCol w:w="7483"/>
      </w:tblGrid>
      <w:tr w:rsidR="002F61BA" w:rsidRPr="00FD2F4C" w14:paraId="7A6C8797" w14:textId="77777777" w:rsidTr="00BB457D">
        <w:trPr>
          <w:cnfStyle w:val="100000000000" w:firstRow="1" w:lastRow="0" w:firstColumn="0" w:lastColumn="0" w:oddVBand="0" w:evenVBand="0" w:oddHBand="0" w:evenHBand="0" w:firstRowFirstColumn="0" w:firstRowLastColumn="0" w:lastRowFirstColumn="0" w:lastRowLastColumn="0"/>
          <w:cantSplit/>
        </w:trPr>
        <w:tc>
          <w:tcPr>
            <w:tcW w:w="7483" w:type="dxa"/>
          </w:tcPr>
          <w:p w14:paraId="630CBAF0" w14:textId="77777777" w:rsidR="002F61BA" w:rsidRPr="00FD2F4C" w:rsidRDefault="002F61BA" w:rsidP="00BB457D">
            <w:pPr>
              <w:pStyle w:val="Tableheader"/>
            </w:pPr>
            <w:r>
              <w:t>Mandatory requirements</w:t>
            </w:r>
            <w:r>
              <w:br/>
              <w:t>STATE ADMINISTRATION UNIT (SAU) – INTER-ENTITY DISSECTION</w:t>
            </w:r>
          </w:p>
        </w:tc>
      </w:tr>
      <w:tr w:rsidR="002F61BA" w:rsidRPr="007B3C7A" w14:paraId="3DDC22C6" w14:textId="77777777" w:rsidTr="00BB457D">
        <w:trPr>
          <w:trHeight w:val="589"/>
        </w:trPr>
        <w:tc>
          <w:tcPr>
            <w:tcW w:w="7483" w:type="dxa"/>
          </w:tcPr>
          <w:p w14:paraId="309A961B" w14:textId="77777777" w:rsidR="002F61BA" w:rsidRDefault="002F61BA" w:rsidP="00DA412B">
            <w:pPr>
              <w:pStyle w:val="Heading3numbered"/>
              <w:numPr>
                <w:ilvl w:val="4"/>
                <w:numId w:val="27"/>
              </w:numPr>
            </w:pPr>
            <w:bookmarkStart w:id="518" w:name="_Toc445459737"/>
            <w:bookmarkStart w:id="519" w:name="_Toc446079423"/>
            <w:bookmarkStart w:id="520" w:name="_Toc476658154"/>
            <w:r>
              <w:t>SAU inter-entity account dissection r</w:t>
            </w:r>
            <w:r w:rsidRPr="008737CA">
              <w:t>equirements and time frames</w:t>
            </w:r>
            <w:bookmarkEnd w:id="518"/>
            <w:bookmarkEnd w:id="519"/>
            <w:bookmarkEnd w:id="520"/>
          </w:p>
          <w:p w14:paraId="357D532A" w14:textId="584142A4" w:rsidR="002F61BA" w:rsidRDefault="002F61BA" w:rsidP="000F010F">
            <w:pPr>
              <w:pStyle w:val="Listnumindent"/>
            </w:pPr>
            <w:r w:rsidRPr="008A12DC">
              <w:t>The</w:t>
            </w:r>
            <w:r>
              <w:t xml:space="preserve"> SAU inter-entity account dissection must be undertaken twice a year</w:t>
            </w:r>
            <w:r w:rsidR="00EE037D">
              <w:t>.</w:t>
            </w:r>
            <w:r w:rsidR="000C4837">
              <w:rPr>
                <w:rStyle w:val="FootnoteReference"/>
              </w:rPr>
              <w:footnoteReference w:id="27"/>
            </w:r>
          </w:p>
          <w:p w14:paraId="23EC456E" w14:textId="77777777" w:rsidR="002F61BA" w:rsidRDefault="002F61BA" w:rsidP="000F010F">
            <w:pPr>
              <w:pStyle w:val="Listnumindent"/>
            </w:pPr>
            <w:r>
              <w:t xml:space="preserve">The SAU inter-entity account dissection must be certified by the relevant Chief Financial Officer (CFO) and </w:t>
            </w:r>
            <w:r w:rsidR="00F70D60">
              <w:t>forwarded</w:t>
            </w:r>
            <w:r w:rsidRPr="00685D21">
              <w:t xml:space="preserve"> to DTF</w:t>
            </w:r>
            <w:r>
              <w:t>.</w:t>
            </w:r>
          </w:p>
          <w:p w14:paraId="3A305844" w14:textId="77777777" w:rsidR="002F61BA" w:rsidRDefault="002F61BA" w:rsidP="000F010F">
            <w:pPr>
              <w:pStyle w:val="Listnumindent"/>
            </w:pPr>
            <w:r w:rsidRPr="008737CA">
              <w:t>The certification must be</w:t>
            </w:r>
            <w:r>
              <w:t xml:space="preserve"> provided</w:t>
            </w:r>
            <w:r w:rsidRPr="008737CA">
              <w:t xml:space="preserve"> in accordance with the time frames advised in DT</w:t>
            </w:r>
            <w:r>
              <w:t>F</w:t>
            </w:r>
            <w:r w:rsidRPr="008737CA">
              <w:t xml:space="preserve"> Information Requests.</w:t>
            </w:r>
            <w:r w:rsidRPr="003A17CD">
              <w:t xml:space="preserve"> </w:t>
            </w:r>
          </w:p>
          <w:p w14:paraId="6BB6F13B" w14:textId="77777777" w:rsidR="002F61BA" w:rsidRPr="003A17CD" w:rsidRDefault="002F61BA" w:rsidP="000F010F">
            <w:pPr>
              <w:pStyle w:val="Listnumindent"/>
            </w:pPr>
            <w:r w:rsidRPr="003A17CD">
              <w:t xml:space="preserve">The dissection must separately identify: </w:t>
            </w:r>
          </w:p>
          <w:p w14:paraId="64515E0A" w14:textId="77777777" w:rsidR="002F61BA" w:rsidRPr="003A17CD" w:rsidRDefault="002F61BA" w:rsidP="00BB457D">
            <w:pPr>
              <w:pStyle w:val="TableBulletindent"/>
            </w:pPr>
            <w:r w:rsidRPr="003A17CD">
              <w:t>appropriations by Parliament;</w:t>
            </w:r>
          </w:p>
          <w:p w14:paraId="20919E58" w14:textId="77777777" w:rsidR="002F61BA" w:rsidRPr="003A17CD" w:rsidRDefault="002F61BA" w:rsidP="00BB457D">
            <w:pPr>
              <w:pStyle w:val="TableBulletindent"/>
            </w:pPr>
            <w:r w:rsidRPr="003A17CD">
              <w:t xml:space="preserve">the drawdown of cash by </w:t>
            </w:r>
            <w:r>
              <w:t>D</w:t>
            </w:r>
            <w:r w:rsidRPr="003A17CD">
              <w:t>epartments;</w:t>
            </w:r>
          </w:p>
          <w:p w14:paraId="0D74615A" w14:textId="77777777" w:rsidR="002F61BA" w:rsidRPr="003A17CD" w:rsidRDefault="002F61BA" w:rsidP="00BB457D">
            <w:pPr>
              <w:pStyle w:val="TableBulletindent"/>
            </w:pPr>
            <w:r w:rsidRPr="003A17CD">
              <w:t>appropriation funded accruals;</w:t>
            </w:r>
          </w:p>
          <w:p w14:paraId="44C762D5" w14:textId="77777777" w:rsidR="002F61BA" w:rsidRPr="003A17CD" w:rsidRDefault="002F61BA" w:rsidP="00BB457D">
            <w:pPr>
              <w:pStyle w:val="TableBulletindent"/>
            </w:pPr>
            <w:r w:rsidRPr="003A17CD">
              <w:t>unspent depreciation equivalent;</w:t>
            </w:r>
          </w:p>
          <w:p w14:paraId="30275481" w14:textId="4DF5250E" w:rsidR="002F61BA" w:rsidRPr="003A17CD" w:rsidRDefault="002F61BA" w:rsidP="00BB457D">
            <w:pPr>
              <w:pStyle w:val="TableBulletindent"/>
            </w:pPr>
            <w:r w:rsidRPr="003A17CD">
              <w:t xml:space="preserve">unspent </w:t>
            </w:r>
            <w:r w:rsidR="003F0A08">
              <w:t>l</w:t>
            </w:r>
            <w:r w:rsidRPr="003A17CD">
              <w:t xml:space="preserve">ong </w:t>
            </w:r>
            <w:r w:rsidR="003F0A08">
              <w:t>s</w:t>
            </w:r>
            <w:r w:rsidRPr="003A17CD">
              <w:t xml:space="preserve">ervice </w:t>
            </w:r>
            <w:r w:rsidR="003F0A08">
              <w:t>l</w:t>
            </w:r>
            <w:r w:rsidRPr="003A17CD">
              <w:t>eave (LSL) equivalent; and</w:t>
            </w:r>
          </w:p>
          <w:p w14:paraId="6FE1AB82" w14:textId="77777777" w:rsidR="002F61BA" w:rsidRPr="003A17CD" w:rsidRDefault="002F61BA" w:rsidP="00BB457D">
            <w:pPr>
              <w:pStyle w:val="TableBulletindent"/>
            </w:pPr>
            <w:r w:rsidRPr="003A17CD">
              <w:t xml:space="preserve">surplus on the provision of outputs. </w:t>
            </w:r>
          </w:p>
          <w:p w14:paraId="3F7D817A" w14:textId="77777777" w:rsidR="002F61BA" w:rsidRDefault="002F61BA" w:rsidP="00BB457D">
            <w:pPr>
              <w:pStyle w:val="Heading3numbered"/>
            </w:pPr>
            <w:bookmarkStart w:id="521" w:name="_Toc445459738"/>
            <w:bookmarkStart w:id="522" w:name="_Toc446079424"/>
            <w:bookmarkStart w:id="523" w:name="_Toc476658155"/>
            <w:r>
              <w:t>Specific end of year requirements</w:t>
            </w:r>
            <w:bookmarkEnd w:id="521"/>
            <w:bookmarkEnd w:id="522"/>
            <w:bookmarkEnd w:id="523"/>
          </w:p>
          <w:p w14:paraId="4CDD0AD9" w14:textId="3D899DA8" w:rsidR="002F61BA" w:rsidRDefault="002F61BA" w:rsidP="000F010F">
            <w:pPr>
              <w:pStyle w:val="Listnumindent"/>
            </w:pPr>
            <w:r>
              <w:t>The SAU inter-entity account dissection must be provided to the Auditor</w:t>
            </w:r>
            <w:r w:rsidR="000C4837">
              <w:t>-</w:t>
            </w:r>
            <w:r>
              <w:t>General’s Office and DTF as part of the end of year process, together with the final draft of the Department’s annual report.</w:t>
            </w:r>
          </w:p>
          <w:p w14:paraId="56F60564" w14:textId="2698F510" w:rsidR="002F61BA" w:rsidRDefault="002F61BA" w:rsidP="000F010F">
            <w:pPr>
              <w:pStyle w:val="Listnumindent"/>
            </w:pPr>
            <w:r>
              <w:t>The date for delivery of the dissection to the Auditor</w:t>
            </w:r>
            <w:r w:rsidR="000C4837">
              <w:t>-</w:t>
            </w:r>
            <w:r>
              <w:t>General’s Office must be negotiated between each Department and its auditors.</w:t>
            </w:r>
          </w:p>
          <w:p w14:paraId="3739B002" w14:textId="509B6D97" w:rsidR="002F61BA" w:rsidRDefault="002F61BA" w:rsidP="00BB457D">
            <w:pPr>
              <w:pStyle w:val="Heading3numbered"/>
            </w:pPr>
            <w:bookmarkStart w:id="524" w:name="_Toc445459739"/>
            <w:bookmarkStart w:id="525" w:name="_Toc446079425"/>
            <w:bookmarkStart w:id="526" w:name="_Toc476658156"/>
            <w:r>
              <w:t xml:space="preserve">Machinery of </w:t>
            </w:r>
            <w:r w:rsidR="003F0A08">
              <w:t>g</w:t>
            </w:r>
            <w:r>
              <w:t>overnment changes requirements</w:t>
            </w:r>
            <w:bookmarkEnd w:id="524"/>
            <w:bookmarkEnd w:id="525"/>
            <w:bookmarkEnd w:id="526"/>
          </w:p>
          <w:p w14:paraId="3B221F08" w14:textId="7791C4C9" w:rsidR="002F61BA" w:rsidRPr="000C67E3" w:rsidRDefault="001A5C8C" w:rsidP="004F1151">
            <w:pPr>
              <w:pStyle w:val="NoteNormalindent"/>
              <w:rPr>
                <w:sz w:val="17"/>
                <w:szCs w:val="17"/>
              </w:rPr>
            </w:pPr>
            <w:r>
              <w:rPr>
                <w:sz w:val="17"/>
                <w:szCs w:val="17"/>
              </w:rPr>
              <w:t xml:space="preserve">When </w:t>
            </w:r>
            <w:r w:rsidR="003F0A08">
              <w:rPr>
                <w:sz w:val="17"/>
                <w:szCs w:val="17"/>
              </w:rPr>
              <w:t>m</w:t>
            </w:r>
            <w:r w:rsidR="002F61BA" w:rsidRPr="000C67E3">
              <w:rPr>
                <w:sz w:val="17"/>
                <w:szCs w:val="17"/>
              </w:rPr>
              <w:t xml:space="preserve">achinery of </w:t>
            </w:r>
            <w:r w:rsidR="003F0A08">
              <w:rPr>
                <w:sz w:val="17"/>
                <w:szCs w:val="17"/>
              </w:rPr>
              <w:t>g</w:t>
            </w:r>
            <w:r w:rsidR="002F61BA" w:rsidRPr="000C67E3">
              <w:rPr>
                <w:sz w:val="17"/>
                <w:szCs w:val="17"/>
              </w:rPr>
              <w:t>overnment changes occur, the SAU inter</w:t>
            </w:r>
            <w:r w:rsidR="000C4837">
              <w:rPr>
                <w:sz w:val="17"/>
                <w:szCs w:val="17"/>
              </w:rPr>
              <w:t>-</w:t>
            </w:r>
            <w:r w:rsidR="002F61BA" w:rsidRPr="000C67E3">
              <w:rPr>
                <w:sz w:val="17"/>
                <w:szCs w:val="17"/>
              </w:rPr>
              <w:t xml:space="preserve">entity account dissection must be updated by affected Departments as at the date of the </w:t>
            </w:r>
            <w:r w:rsidR="003F0A08">
              <w:rPr>
                <w:sz w:val="17"/>
                <w:szCs w:val="17"/>
              </w:rPr>
              <w:t>m</w:t>
            </w:r>
            <w:r>
              <w:rPr>
                <w:sz w:val="17"/>
                <w:szCs w:val="17"/>
              </w:rPr>
              <w:t xml:space="preserve">achinery of </w:t>
            </w:r>
            <w:r w:rsidR="003F0A08">
              <w:rPr>
                <w:sz w:val="17"/>
                <w:szCs w:val="17"/>
              </w:rPr>
              <w:t>g</w:t>
            </w:r>
            <w:r w:rsidR="002F61BA" w:rsidRPr="000C67E3">
              <w:rPr>
                <w:sz w:val="17"/>
                <w:szCs w:val="17"/>
              </w:rPr>
              <w:t>overnment change. A copy of the dissection must then be provided to DTF in a timely manner.</w:t>
            </w:r>
          </w:p>
          <w:p w14:paraId="270D5BBC" w14:textId="77777777" w:rsidR="002F61BA" w:rsidRDefault="002F61BA" w:rsidP="004F1151">
            <w:pPr>
              <w:pStyle w:val="Heading3numbered"/>
            </w:pPr>
            <w:bookmarkStart w:id="527" w:name="_Toc445459740"/>
            <w:bookmarkStart w:id="528" w:name="_Toc446079426"/>
            <w:bookmarkStart w:id="529" w:name="_Toc476658157"/>
            <w:r>
              <w:t>Resolution of issues</w:t>
            </w:r>
            <w:bookmarkEnd w:id="527"/>
            <w:bookmarkEnd w:id="528"/>
            <w:bookmarkEnd w:id="529"/>
          </w:p>
          <w:p w14:paraId="46850F5E" w14:textId="77777777" w:rsidR="002F61BA" w:rsidRDefault="002F61BA" w:rsidP="000F010F">
            <w:pPr>
              <w:pStyle w:val="Listnumindent"/>
            </w:pPr>
            <w:r w:rsidRPr="003A17CD">
              <w:t xml:space="preserve">Departments must resolve all issues/variances identified by DTF </w:t>
            </w:r>
            <w:r>
              <w:t>in a timely manner.</w:t>
            </w:r>
          </w:p>
          <w:p w14:paraId="79AB5B57" w14:textId="77777777" w:rsidR="002F61BA" w:rsidRPr="002B7591" w:rsidRDefault="002F61BA" w:rsidP="000F010F">
            <w:pPr>
              <w:pStyle w:val="Listnumindent"/>
            </w:pPr>
            <w:r>
              <w:t xml:space="preserve">DTF must provide </w:t>
            </w:r>
            <w:r w:rsidRPr="003A17CD">
              <w:t xml:space="preserve">all necessary assistance </w:t>
            </w:r>
            <w:r>
              <w:t xml:space="preserve">to Departments </w:t>
            </w:r>
            <w:r w:rsidRPr="003A17CD">
              <w:t>in clarifying and understanding the issue</w:t>
            </w:r>
            <w:r>
              <w:t>s involved.</w:t>
            </w:r>
          </w:p>
        </w:tc>
      </w:tr>
    </w:tbl>
    <w:p w14:paraId="412EDDAC" w14:textId="77777777" w:rsidR="002F61BA" w:rsidRDefault="002F61BA" w:rsidP="002F61BA">
      <w:pPr>
        <w:pStyle w:val="Spacer"/>
      </w:pPr>
    </w:p>
    <w:p w14:paraId="3DFADDDC" w14:textId="77777777" w:rsidR="002F61BA" w:rsidRDefault="002F61BA" w:rsidP="002F61BA">
      <w:pPr>
        <w:spacing w:before="0" w:after="200"/>
        <w:rPr>
          <w:rFonts w:asciiTheme="majorHAnsi" w:eastAsiaTheme="majorEastAsia" w:hAnsiTheme="majorHAnsi" w:cstheme="majorBidi"/>
          <w:b/>
          <w:bCs/>
          <w:iCs/>
          <w:color w:val="53565A"/>
          <w:sz w:val="21"/>
        </w:rPr>
      </w:pPr>
      <w:r>
        <w:br w:type="page"/>
      </w:r>
    </w:p>
    <w:p w14:paraId="5C1E1A9C" w14:textId="77777777" w:rsidR="002F61BA" w:rsidRPr="00862803" w:rsidRDefault="002F61BA" w:rsidP="00056F4E">
      <w:pPr>
        <w:pStyle w:val="Heading2indent"/>
      </w:pPr>
      <w:r w:rsidRPr="00862803">
        <w:lastRenderedPageBreak/>
        <w:t>Guidance</w:t>
      </w:r>
    </w:p>
    <w:p w14:paraId="09EFBCC6" w14:textId="5FE23F62" w:rsidR="00F70D60" w:rsidRDefault="00F70D60" w:rsidP="00F70D60">
      <w:pPr>
        <w:pStyle w:val="NormalIndent"/>
        <w:rPr>
          <w:lang w:eastAsia="en-US"/>
        </w:rPr>
      </w:pPr>
      <w:r>
        <w:rPr>
          <w:lang w:eastAsia="en-US"/>
        </w:rPr>
        <w:t xml:space="preserve">The SAU inter-entity account comprises each Department’s appropriated but unspent (not yet drawn down) funds </w:t>
      </w:r>
      <w:r w:rsidR="003D3A4A">
        <w:rPr>
          <w:lang w:eastAsia="en-US"/>
        </w:rPr>
        <w:t xml:space="preserve">and other amounts </w:t>
      </w:r>
      <w:r>
        <w:rPr>
          <w:lang w:eastAsia="en-US"/>
        </w:rPr>
        <w:t xml:space="preserve">that are available to it in the Public Account. </w:t>
      </w:r>
      <w:r w:rsidR="00EC08F8">
        <w:rPr>
          <w:lang w:eastAsia="en-US"/>
        </w:rPr>
        <w:t xml:space="preserve">This may include balances </w:t>
      </w:r>
      <w:r w:rsidR="003D3A4A">
        <w:rPr>
          <w:lang w:eastAsia="en-US"/>
        </w:rPr>
        <w:t>payable from</w:t>
      </w:r>
      <w:r w:rsidR="00EC08F8">
        <w:rPr>
          <w:lang w:eastAsia="en-US"/>
        </w:rPr>
        <w:t xml:space="preserve"> the Consolidated Fund or </w:t>
      </w:r>
      <w:r w:rsidR="003D3A4A">
        <w:rPr>
          <w:lang w:eastAsia="en-US"/>
        </w:rPr>
        <w:t xml:space="preserve">cash held by central agency on behalf of Trust Accounts in </w:t>
      </w:r>
      <w:r w:rsidR="00EC08F8">
        <w:rPr>
          <w:lang w:eastAsia="en-US"/>
        </w:rPr>
        <w:t>the Trust Fund.</w:t>
      </w:r>
    </w:p>
    <w:p w14:paraId="4D29B333" w14:textId="77777777" w:rsidR="00EC08F8" w:rsidRDefault="00EC08F8" w:rsidP="00EC08F8">
      <w:pPr>
        <w:pStyle w:val="NormalIndent"/>
        <w:rPr>
          <w:lang w:eastAsia="en-US"/>
        </w:rPr>
      </w:pPr>
      <w:r>
        <w:rPr>
          <w:lang w:eastAsia="en-US"/>
        </w:rPr>
        <w:t>Specifically, the SAU dissection seeks to account for a Department’s:</w:t>
      </w:r>
    </w:p>
    <w:p w14:paraId="53CC7901" w14:textId="77777777" w:rsidR="00EC08F8" w:rsidRDefault="00EC08F8" w:rsidP="00EC08F8">
      <w:pPr>
        <w:pStyle w:val="Bulletindent"/>
        <w:rPr>
          <w:lang w:eastAsia="en-US"/>
        </w:rPr>
      </w:pPr>
      <w:r>
        <w:rPr>
          <w:lang w:eastAsia="en-US"/>
        </w:rPr>
        <w:t>appropriations by Parliament;</w:t>
      </w:r>
    </w:p>
    <w:p w14:paraId="664AEE28" w14:textId="77777777" w:rsidR="00EC08F8" w:rsidRDefault="00EC08F8" w:rsidP="00EC08F8">
      <w:pPr>
        <w:pStyle w:val="Bulletindent"/>
        <w:rPr>
          <w:lang w:eastAsia="en-US"/>
        </w:rPr>
      </w:pPr>
      <w:r>
        <w:rPr>
          <w:lang w:eastAsia="en-US"/>
        </w:rPr>
        <w:t>the drawdown of cash by Departments</w:t>
      </w:r>
      <w:r w:rsidRPr="001F0CD7">
        <w:rPr>
          <w:lang w:eastAsia="en-US"/>
        </w:rPr>
        <w:t xml:space="preserve"> </w:t>
      </w:r>
      <w:r>
        <w:rPr>
          <w:lang w:eastAsia="en-US"/>
        </w:rPr>
        <w:t>in accordance with the appropriate parliamentary authority;</w:t>
      </w:r>
    </w:p>
    <w:p w14:paraId="639F69B8" w14:textId="77777777" w:rsidR="00EC08F8" w:rsidRDefault="00E71059" w:rsidP="00EC08F8">
      <w:pPr>
        <w:pStyle w:val="Bulletindent"/>
        <w:rPr>
          <w:lang w:eastAsia="en-US"/>
        </w:rPr>
      </w:pPr>
      <w:r>
        <w:rPr>
          <w:lang w:eastAsia="en-US"/>
        </w:rPr>
        <w:t>appropriation-</w:t>
      </w:r>
      <w:r w:rsidR="00EC08F8">
        <w:rPr>
          <w:lang w:eastAsia="en-US"/>
        </w:rPr>
        <w:t>funded accruals</w:t>
      </w:r>
      <w:r>
        <w:rPr>
          <w:lang w:eastAsia="en-US"/>
        </w:rPr>
        <w:t xml:space="preserve"> (such as employee entitlements and payables);</w:t>
      </w:r>
    </w:p>
    <w:p w14:paraId="75A794FA" w14:textId="77777777" w:rsidR="00EC08F8" w:rsidRDefault="00EC08F8" w:rsidP="00EC08F8">
      <w:pPr>
        <w:pStyle w:val="Bulletindent"/>
        <w:rPr>
          <w:lang w:eastAsia="en-US"/>
        </w:rPr>
      </w:pPr>
      <w:r>
        <w:rPr>
          <w:lang w:eastAsia="en-US"/>
        </w:rPr>
        <w:t>unspent depreciation equivalent;</w:t>
      </w:r>
    </w:p>
    <w:p w14:paraId="390B328E" w14:textId="17C62E65" w:rsidR="00EC08F8" w:rsidRDefault="00EC08F8" w:rsidP="00EC08F8">
      <w:pPr>
        <w:pStyle w:val="Bulletindent"/>
        <w:rPr>
          <w:lang w:eastAsia="en-US"/>
        </w:rPr>
      </w:pPr>
      <w:r>
        <w:rPr>
          <w:lang w:eastAsia="en-US"/>
        </w:rPr>
        <w:t>unspent LSL equivalent; and</w:t>
      </w:r>
    </w:p>
    <w:p w14:paraId="7D9F559D" w14:textId="77777777" w:rsidR="00E71059" w:rsidRDefault="00EC08F8" w:rsidP="00E71059">
      <w:pPr>
        <w:pStyle w:val="Bulletindent"/>
        <w:rPr>
          <w:lang w:eastAsia="en-US"/>
        </w:rPr>
      </w:pPr>
      <w:r>
        <w:rPr>
          <w:lang w:eastAsia="en-US"/>
        </w:rPr>
        <w:t>surplus on the provision of outputs.</w:t>
      </w:r>
    </w:p>
    <w:p w14:paraId="64A454AE" w14:textId="77777777" w:rsidR="002F61BA" w:rsidRDefault="002F61BA" w:rsidP="000B672C">
      <w:pPr>
        <w:pStyle w:val="Heading3indent"/>
      </w:pPr>
      <w:r>
        <w:t xml:space="preserve">The SAU </w:t>
      </w:r>
      <w:r w:rsidR="00EC08F8">
        <w:t xml:space="preserve">inter-entity </w:t>
      </w:r>
      <w:r>
        <w:t>dissection – template and additional notes</w:t>
      </w:r>
    </w:p>
    <w:p w14:paraId="0F517FBD" w14:textId="77777777" w:rsidR="00EC08F8" w:rsidRDefault="00EC08F8" w:rsidP="00EC08F8">
      <w:pPr>
        <w:pStyle w:val="NormalIndent"/>
        <w:rPr>
          <w:lang w:eastAsia="en-US"/>
        </w:rPr>
      </w:pPr>
      <w:r>
        <w:rPr>
          <w:lang w:eastAsia="en-US"/>
        </w:rPr>
        <w:t>Departments are required to submit a regular dissection report to DTF to explain the movements and balances in this account. This is required to satisfy legal, audit and budget monitoring requirements.</w:t>
      </w:r>
    </w:p>
    <w:p w14:paraId="449E380C" w14:textId="77777777" w:rsidR="00F70D60" w:rsidRDefault="002F61BA" w:rsidP="002F61BA">
      <w:pPr>
        <w:pStyle w:val="NormalIndent"/>
        <w:rPr>
          <w:lang w:eastAsia="en-US"/>
        </w:rPr>
      </w:pPr>
      <w:r>
        <w:rPr>
          <w:lang w:eastAsia="en-US"/>
        </w:rPr>
        <w:t xml:space="preserve">The SAU dissection template is provided in </w:t>
      </w:r>
      <w:r w:rsidRPr="00526BFE">
        <w:rPr>
          <w:i/>
          <w:lang w:eastAsia="en-US"/>
        </w:rPr>
        <w:t>Attachment 1</w:t>
      </w:r>
      <w:r>
        <w:rPr>
          <w:lang w:eastAsia="en-US"/>
        </w:rPr>
        <w:t xml:space="preserve"> for </w:t>
      </w:r>
      <w:r w:rsidR="00F70D60">
        <w:rPr>
          <w:lang w:eastAsia="en-US"/>
        </w:rPr>
        <w:t>use</w:t>
      </w:r>
      <w:r>
        <w:rPr>
          <w:lang w:eastAsia="en-US"/>
        </w:rPr>
        <w:t xml:space="preserve"> by Departments</w:t>
      </w:r>
      <w:r w:rsidRPr="00FA5B46">
        <w:rPr>
          <w:lang w:eastAsia="en-US"/>
        </w:rPr>
        <w:t>.</w:t>
      </w:r>
      <w:r>
        <w:rPr>
          <w:lang w:eastAsia="en-US"/>
        </w:rPr>
        <w:t xml:space="preserve"> </w:t>
      </w:r>
    </w:p>
    <w:p w14:paraId="04D8FBA8" w14:textId="77777777" w:rsidR="002F61BA" w:rsidRDefault="002F61BA" w:rsidP="002F61BA">
      <w:pPr>
        <w:pStyle w:val="NormalIndent"/>
        <w:rPr>
          <w:lang w:eastAsia="en-US"/>
        </w:rPr>
      </w:pPr>
      <w:r>
        <w:rPr>
          <w:lang w:eastAsia="en-US"/>
        </w:rPr>
        <w:t xml:space="preserve">For more information on how to populate the SAU dissection template, please contact your </w:t>
      </w:r>
      <w:r w:rsidR="00526BFE">
        <w:rPr>
          <w:lang w:eastAsia="en-US"/>
        </w:rPr>
        <w:t xml:space="preserve">usual </w:t>
      </w:r>
      <w:r>
        <w:rPr>
          <w:lang w:eastAsia="en-US"/>
        </w:rPr>
        <w:t>DTF contact.</w:t>
      </w:r>
    </w:p>
    <w:p w14:paraId="133B0099" w14:textId="233EBBAE" w:rsidR="002F61BA" w:rsidRPr="00342563" w:rsidRDefault="00EC08F8" w:rsidP="000B672C">
      <w:pPr>
        <w:pStyle w:val="Heading3indent"/>
      </w:pPr>
      <w:r>
        <w:t>Reporting on the SAU inter-entity</w:t>
      </w:r>
      <w:r w:rsidR="003D3A4A">
        <w:t xml:space="preserve"> account (</w:t>
      </w:r>
      <w:r w:rsidR="00D93C7A">
        <w:t xml:space="preserve">account </w:t>
      </w:r>
      <w:r w:rsidR="003D3A4A">
        <w:t>45000)</w:t>
      </w:r>
      <w:r>
        <w:t xml:space="preserve"> dissection</w:t>
      </w:r>
    </w:p>
    <w:p w14:paraId="5992B9A2" w14:textId="77777777" w:rsidR="002F61BA" w:rsidRDefault="002F61BA" w:rsidP="002F61BA">
      <w:pPr>
        <w:pStyle w:val="NormalIndent"/>
        <w:rPr>
          <w:lang w:eastAsia="en-US"/>
        </w:rPr>
      </w:pPr>
      <w:r>
        <w:rPr>
          <w:lang w:eastAsia="en-US"/>
        </w:rPr>
        <w:t xml:space="preserve">The SAU </w:t>
      </w:r>
      <w:r w:rsidR="00EC08F8">
        <w:rPr>
          <w:lang w:eastAsia="en-US"/>
        </w:rPr>
        <w:t xml:space="preserve">inter-entity </w:t>
      </w:r>
      <w:r>
        <w:rPr>
          <w:lang w:eastAsia="en-US"/>
        </w:rPr>
        <w:t>account balance dissection must be reconciled to the relevant financial statements to ensure the integrity of the information provided.</w:t>
      </w:r>
    </w:p>
    <w:p w14:paraId="6CE863B3" w14:textId="28EE85CD" w:rsidR="002F61BA" w:rsidRDefault="00526BFE" w:rsidP="002F61BA">
      <w:pPr>
        <w:pStyle w:val="NormalIndent"/>
        <w:rPr>
          <w:lang w:eastAsia="en-US"/>
        </w:rPr>
      </w:pPr>
      <w:r>
        <w:rPr>
          <w:lang w:eastAsia="en-US"/>
        </w:rPr>
        <w:t>The SAU inter-entity account is considered a current receivable amount in the financial statements, a</w:t>
      </w:r>
      <w:r w:rsidR="002F61BA">
        <w:rPr>
          <w:lang w:eastAsia="en-US"/>
        </w:rPr>
        <w:t>s it is expected Departments will draw down on the bulk of their appropriati</w:t>
      </w:r>
      <w:r>
        <w:rPr>
          <w:lang w:eastAsia="en-US"/>
        </w:rPr>
        <w:t xml:space="preserve">ons within a 12-month period. </w:t>
      </w:r>
      <w:r w:rsidR="002F61BA">
        <w:rPr>
          <w:lang w:eastAsia="en-US"/>
        </w:rPr>
        <w:t>Consequently, there is no requirement to re</w:t>
      </w:r>
      <w:r>
        <w:rPr>
          <w:lang w:eastAsia="en-US"/>
        </w:rPr>
        <w:noBreakHyphen/>
      </w:r>
      <w:r w:rsidR="002F61BA">
        <w:rPr>
          <w:lang w:eastAsia="en-US"/>
        </w:rPr>
        <w:t>measure this receivable to present value terms.</w:t>
      </w:r>
    </w:p>
    <w:p w14:paraId="7CDB494B" w14:textId="618FCA49" w:rsidR="003D3A4A" w:rsidRDefault="003D3A4A" w:rsidP="002F61BA">
      <w:pPr>
        <w:pStyle w:val="NormalIndent"/>
        <w:rPr>
          <w:lang w:eastAsia="en-US"/>
        </w:rPr>
      </w:pPr>
      <w:r>
        <w:rPr>
          <w:lang w:eastAsia="en-US"/>
        </w:rPr>
        <w:t>Note inter</w:t>
      </w:r>
      <w:r w:rsidR="000C4837">
        <w:rPr>
          <w:lang w:eastAsia="en-US"/>
        </w:rPr>
        <w:t>-</w:t>
      </w:r>
      <w:r>
        <w:rPr>
          <w:lang w:eastAsia="en-US"/>
        </w:rPr>
        <w:t xml:space="preserve">entity account 45500 represents cash held in relation to Trust Accounts and is available on demand to settle trust fund payables. As such, it is reported as </w:t>
      </w:r>
      <w:r w:rsidR="00D93C7A">
        <w:rPr>
          <w:lang w:eastAsia="en-US"/>
        </w:rPr>
        <w:t>C</w:t>
      </w:r>
      <w:r>
        <w:rPr>
          <w:lang w:eastAsia="en-US"/>
        </w:rPr>
        <w:t xml:space="preserve">ash at </w:t>
      </w:r>
      <w:r w:rsidR="00D93C7A">
        <w:rPr>
          <w:lang w:eastAsia="en-US"/>
        </w:rPr>
        <w:t>B</w:t>
      </w:r>
      <w:r>
        <w:rPr>
          <w:lang w:eastAsia="en-US"/>
        </w:rPr>
        <w:t>ank in departmental financial statements.</w:t>
      </w:r>
    </w:p>
    <w:p w14:paraId="2A45C0CA" w14:textId="77777777" w:rsidR="002F61BA" w:rsidRDefault="002F61BA" w:rsidP="00056F4E">
      <w:pPr>
        <w:pStyle w:val="Heading2indent"/>
      </w:pPr>
      <w:r>
        <w:t>Relevant materials</w:t>
      </w:r>
    </w:p>
    <w:p w14:paraId="5101DB7A" w14:textId="77777777" w:rsidR="002F61BA" w:rsidRDefault="002F61BA" w:rsidP="000B672C">
      <w:pPr>
        <w:pStyle w:val="Heading3indent"/>
      </w:pPr>
      <w:r>
        <w:t>Attachments</w:t>
      </w:r>
    </w:p>
    <w:p w14:paraId="4F4DA5D8" w14:textId="77777777" w:rsidR="002F61BA" w:rsidRPr="005744AE" w:rsidRDefault="002F61BA" w:rsidP="002F61BA">
      <w:pPr>
        <w:pStyle w:val="Bulletindent"/>
        <w:rPr>
          <w:lang w:eastAsia="en-US"/>
        </w:rPr>
      </w:pPr>
      <w:r w:rsidRPr="00051883">
        <w:rPr>
          <w:lang w:eastAsia="en-US"/>
        </w:rPr>
        <w:t>Attachment 1</w:t>
      </w:r>
      <w:r w:rsidRPr="005744AE">
        <w:rPr>
          <w:lang w:eastAsia="en-US"/>
        </w:rPr>
        <w:t xml:space="preserve">: </w:t>
      </w:r>
      <w:r w:rsidRPr="00A13839">
        <w:rPr>
          <w:i/>
          <w:lang w:eastAsia="en-US"/>
        </w:rPr>
        <w:t>SAU dissection template</w:t>
      </w:r>
    </w:p>
    <w:bookmarkEnd w:id="343"/>
    <w:p w14:paraId="70E03718" w14:textId="77777777" w:rsidR="005476DA" w:rsidRDefault="005476DA" w:rsidP="005476DA">
      <w:pPr>
        <w:spacing w:before="0" w:after="200"/>
      </w:pPr>
      <w:r>
        <w:br w:type="page"/>
      </w:r>
    </w:p>
    <w:p w14:paraId="64AE7593" w14:textId="77777777" w:rsidR="00C25D1A" w:rsidRDefault="003F0DC3" w:rsidP="00D174DC">
      <w:pPr>
        <w:pStyle w:val="Heading1numbered"/>
        <w:rPr>
          <w:lang w:eastAsia="en-US"/>
        </w:rPr>
      </w:pPr>
      <w:bookmarkStart w:id="530" w:name="_Toc476658158"/>
      <w:r>
        <w:rPr>
          <w:lang w:eastAsia="en-US"/>
        </w:rPr>
        <w:lastRenderedPageBreak/>
        <w:t>Guidance on estimates updates</w:t>
      </w:r>
      <w:bookmarkEnd w:id="530"/>
    </w:p>
    <w:p w14:paraId="13E16AF0" w14:textId="77777777" w:rsidR="00696C7D" w:rsidRPr="00696C7D" w:rsidRDefault="00696C7D" w:rsidP="00696C7D">
      <w:pPr>
        <w:pStyle w:val="Heading2numbered"/>
      </w:pPr>
      <w:bookmarkStart w:id="531" w:name="_Toc476658159"/>
      <w:r w:rsidRPr="00696C7D">
        <w:t>Policy vs non-policy journal entries</w:t>
      </w:r>
      <w:bookmarkEnd w:id="531"/>
    </w:p>
    <w:p w14:paraId="49D02731" w14:textId="4E101995" w:rsidR="00486C5E" w:rsidRDefault="007E520F" w:rsidP="003F0DC3">
      <w:pPr>
        <w:pStyle w:val="NormalIndent"/>
        <w:rPr>
          <w:lang w:eastAsia="en-US"/>
        </w:rPr>
      </w:pPr>
      <w:r>
        <w:rPr>
          <w:lang w:eastAsia="en-US"/>
        </w:rPr>
        <w:t xml:space="preserve">As part of </w:t>
      </w:r>
      <w:r w:rsidR="00486C5E">
        <w:rPr>
          <w:lang w:eastAsia="en-US"/>
        </w:rPr>
        <w:t>the annual Budget and B</w:t>
      </w:r>
      <w:r>
        <w:rPr>
          <w:lang w:eastAsia="en-US"/>
        </w:rPr>
        <w:t xml:space="preserve">udget </w:t>
      </w:r>
      <w:r w:rsidR="00486C5E">
        <w:rPr>
          <w:lang w:eastAsia="en-US"/>
        </w:rPr>
        <w:t>U</w:t>
      </w:r>
      <w:r>
        <w:rPr>
          <w:lang w:eastAsia="en-US"/>
        </w:rPr>
        <w:t>pdate process</w:t>
      </w:r>
      <w:r w:rsidR="00486C5E">
        <w:rPr>
          <w:lang w:eastAsia="en-US"/>
        </w:rPr>
        <w:t>es</w:t>
      </w:r>
      <w:r w:rsidR="003F0DC3">
        <w:rPr>
          <w:lang w:eastAsia="en-US"/>
        </w:rPr>
        <w:t xml:space="preserve">, Departments </w:t>
      </w:r>
      <w:r w:rsidR="00486C5E">
        <w:rPr>
          <w:lang w:eastAsia="en-US"/>
        </w:rPr>
        <w:t>may</w:t>
      </w:r>
      <w:r w:rsidR="003F0DC3">
        <w:rPr>
          <w:lang w:eastAsia="en-US"/>
        </w:rPr>
        <w:t xml:space="preserve"> submit </w:t>
      </w:r>
      <w:r>
        <w:rPr>
          <w:lang w:eastAsia="en-US"/>
        </w:rPr>
        <w:t xml:space="preserve">budget journal entries </w:t>
      </w:r>
      <w:r w:rsidR="003F0DC3">
        <w:rPr>
          <w:lang w:eastAsia="en-US"/>
        </w:rPr>
        <w:t xml:space="preserve">to </w:t>
      </w:r>
      <w:r>
        <w:rPr>
          <w:lang w:eastAsia="en-US"/>
        </w:rPr>
        <w:t xml:space="preserve">update </w:t>
      </w:r>
      <w:r w:rsidR="003F0DC3">
        <w:rPr>
          <w:lang w:eastAsia="en-US"/>
        </w:rPr>
        <w:t xml:space="preserve">their budget estimates </w:t>
      </w:r>
      <w:r w:rsidR="00E92D03">
        <w:rPr>
          <w:lang w:eastAsia="en-US"/>
        </w:rPr>
        <w:t xml:space="preserve">in the State Resource Information Management System (SRIMS) </w:t>
      </w:r>
      <w:r w:rsidR="00486C5E">
        <w:rPr>
          <w:lang w:eastAsia="en-US"/>
        </w:rPr>
        <w:t>f</w:t>
      </w:r>
      <w:r w:rsidR="003F0DC3">
        <w:rPr>
          <w:lang w:eastAsia="en-US"/>
        </w:rPr>
        <w:t>or approval</w:t>
      </w:r>
      <w:r w:rsidR="00486C5E">
        <w:rPr>
          <w:lang w:eastAsia="en-US"/>
        </w:rPr>
        <w:t xml:space="preserve"> by DTF</w:t>
      </w:r>
      <w:r w:rsidR="003F0DC3">
        <w:rPr>
          <w:lang w:eastAsia="en-US"/>
        </w:rPr>
        <w:t>.</w:t>
      </w:r>
    </w:p>
    <w:p w14:paraId="517C70DF" w14:textId="3505311E" w:rsidR="003F0DC3" w:rsidRPr="005071FD" w:rsidRDefault="003F0DC3" w:rsidP="003F0DC3">
      <w:pPr>
        <w:pStyle w:val="NormalIndent"/>
        <w:rPr>
          <w:lang w:eastAsia="en-US"/>
        </w:rPr>
      </w:pPr>
      <w:r>
        <w:rPr>
          <w:lang w:eastAsia="en-US"/>
        </w:rPr>
        <w:t xml:space="preserve">When </w:t>
      </w:r>
      <w:r w:rsidR="00486C5E">
        <w:rPr>
          <w:lang w:eastAsia="en-US"/>
        </w:rPr>
        <w:t>submitting t</w:t>
      </w:r>
      <w:r>
        <w:rPr>
          <w:lang w:eastAsia="en-US"/>
        </w:rPr>
        <w:t>hese journal</w:t>
      </w:r>
      <w:r w:rsidR="00486C5E">
        <w:rPr>
          <w:lang w:eastAsia="en-US"/>
        </w:rPr>
        <w:t xml:space="preserve"> entries to </w:t>
      </w:r>
      <w:r w:rsidR="00E92D03">
        <w:rPr>
          <w:lang w:eastAsia="en-US"/>
        </w:rPr>
        <w:t>SRIMS</w:t>
      </w:r>
      <w:r>
        <w:rPr>
          <w:lang w:eastAsia="en-US"/>
        </w:rPr>
        <w:t xml:space="preserve">, Departments </w:t>
      </w:r>
      <w:r w:rsidR="00486C5E">
        <w:rPr>
          <w:lang w:eastAsia="en-US"/>
        </w:rPr>
        <w:t>must</w:t>
      </w:r>
      <w:r>
        <w:rPr>
          <w:lang w:eastAsia="en-US"/>
        </w:rPr>
        <w:t xml:space="preserve"> </w:t>
      </w:r>
      <w:r w:rsidR="007E520F">
        <w:rPr>
          <w:lang w:eastAsia="en-US"/>
        </w:rPr>
        <w:t xml:space="preserve">identify </w:t>
      </w:r>
      <w:r>
        <w:rPr>
          <w:lang w:eastAsia="en-US"/>
        </w:rPr>
        <w:t xml:space="preserve">whether a journal </w:t>
      </w:r>
      <w:r w:rsidR="00486C5E">
        <w:rPr>
          <w:lang w:eastAsia="en-US"/>
        </w:rPr>
        <w:t xml:space="preserve">entry submitted </w:t>
      </w:r>
      <w:r>
        <w:rPr>
          <w:lang w:eastAsia="en-US"/>
        </w:rPr>
        <w:t xml:space="preserve">is </w:t>
      </w:r>
      <w:r w:rsidR="00486C5E">
        <w:rPr>
          <w:lang w:eastAsia="en-US"/>
        </w:rPr>
        <w:t>either ‘</w:t>
      </w:r>
      <w:r w:rsidRPr="000F010F">
        <w:rPr>
          <w:lang w:eastAsia="en-US"/>
        </w:rPr>
        <w:t>policy</w:t>
      </w:r>
      <w:r w:rsidR="00486C5E">
        <w:rPr>
          <w:lang w:eastAsia="en-US"/>
        </w:rPr>
        <w:t>’</w:t>
      </w:r>
      <w:r w:rsidRPr="000F010F">
        <w:rPr>
          <w:lang w:eastAsia="en-US"/>
        </w:rPr>
        <w:t xml:space="preserve"> or </w:t>
      </w:r>
      <w:r w:rsidR="00486C5E">
        <w:rPr>
          <w:lang w:eastAsia="en-US"/>
        </w:rPr>
        <w:t>‘</w:t>
      </w:r>
      <w:r w:rsidRPr="000F010F">
        <w:rPr>
          <w:lang w:eastAsia="en-US"/>
        </w:rPr>
        <w:t>non-policy</w:t>
      </w:r>
      <w:r w:rsidR="00486C5E">
        <w:rPr>
          <w:lang w:eastAsia="en-US"/>
        </w:rPr>
        <w:t>’</w:t>
      </w:r>
      <w:r w:rsidR="007E520F">
        <w:rPr>
          <w:lang w:eastAsia="en-US"/>
        </w:rPr>
        <w:t xml:space="preserve"> in nature</w:t>
      </w:r>
      <w:r w:rsidRPr="000F010F">
        <w:rPr>
          <w:lang w:eastAsia="en-US"/>
        </w:rPr>
        <w:t>.</w:t>
      </w:r>
    </w:p>
    <w:p w14:paraId="2E02EE55" w14:textId="233A175A" w:rsidR="00486C5E" w:rsidRDefault="003F0DC3" w:rsidP="003F0DC3">
      <w:pPr>
        <w:pStyle w:val="NormalIndent"/>
        <w:rPr>
          <w:lang w:eastAsia="en-US"/>
        </w:rPr>
      </w:pPr>
      <w:r w:rsidRPr="000F010F">
        <w:rPr>
          <w:b/>
          <w:lang w:eastAsia="en-US"/>
        </w:rPr>
        <w:t>Policy</w:t>
      </w:r>
      <w:r>
        <w:rPr>
          <w:b/>
          <w:lang w:eastAsia="en-US"/>
        </w:rPr>
        <w:t xml:space="preserve"> journal</w:t>
      </w:r>
      <w:r w:rsidRPr="000F010F">
        <w:rPr>
          <w:b/>
          <w:lang w:eastAsia="en-US"/>
        </w:rPr>
        <w:t>:</w:t>
      </w:r>
      <w:r>
        <w:rPr>
          <w:lang w:eastAsia="en-US"/>
        </w:rPr>
        <w:t xml:space="preserve"> A </w:t>
      </w:r>
      <w:r w:rsidRPr="000F010F">
        <w:rPr>
          <w:lang w:eastAsia="en-US"/>
        </w:rPr>
        <w:t>policy</w:t>
      </w:r>
      <w:r>
        <w:rPr>
          <w:lang w:eastAsia="en-US"/>
        </w:rPr>
        <w:t xml:space="preserve"> journal will allow </w:t>
      </w:r>
      <w:r w:rsidR="00486C5E">
        <w:rPr>
          <w:lang w:eastAsia="en-US"/>
        </w:rPr>
        <w:t>a</w:t>
      </w:r>
      <w:r>
        <w:rPr>
          <w:lang w:eastAsia="en-US"/>
        </w:rPr>
        <w:t xml:space="preserve"> Department to post variations to appropriation accounts. Following a Government decision to introduce a new program or project, a policy journal will reflect the adjustment of appropriation as necessary. </w:t>
      </w:r>
      <w:r w:rsidRPr="00CB36B7">
        <w:rPr>
          <w:lang w:eastAsia="en-US"/>
        </w:rPr>
        <w:t xml:space="preserve">These journals should </w:t>
      </w:r>
      <w:r w:rsidR="00E92D03">
        <w:rPr>
          <w:lang w:eastAsia="en-US"/>
        </w:rPr>
        <w:t>be able to source</w:t>
      </w:r>
      <w:r w:rsidRPr="00CB36B7">
        <w:rPr>
          <w:lang w:eastAsia="en-US"/>
        </w:rPr>
        <w:t xml:space="preserve"> a </w:t>
      </w:r>
      <w:r>
        <w:rPr>
          <w:lang w:eastAsia="en-US"/>
        </w:rPr>
        <w:t>Cabinet committee</w:t>
      </w:r>
      <w:r w:rsidRPr="00CB36B7">
        <w:rPr>
          <w:lang w:eastAsia="en-US"/>
        </w:rPr>
        <w:t>, Treasurer or Ministerial decision that underpins the estimate</w:t>
      </w:r>
      <w:r w:rsidR="00486C5E">
        <w:rPr>
          <w:lang w:eastAsia="en-US"/>
        </w:rPr>
        <w:t xml:space="preserve"> change</w:t>
      </w:r>
      <w:r w:rsidRPr="00CB36B7">
        <w:rPr>
          <w:lang w:eastAsia="en-US"/>
        </w:rPr>
        <w:t>.</w:t>
      </w:r>
      <w:r>
        <w:rPr>
          <w:lang w:eastAsia="en-US"/>
        </w:rPr>
        <w:t xml:space="preserve"> </w:t>
      </w:r>
      <w:r w:rsidRPr="00254875">
        <w:rPr>
          <w:lang w:eastAsia="en-US"/>
        </w:rPr>
        <w:t>Policy</w:t>
      </w:r>
      <w:r>
        <w:rPr>
          <w:lang w:eastAsia="en-US"/>
        </w:rPr>
        <w:t xml:space="preserve"> decisions also include decisions to provide a Department with additional budget supplementation.</w:t>
      </w:r>
      <w:r w:rsidR="00486C5E" w:rsidRPr="00486C5E">
        <w:rPr>
          <w:lang w:eastAsia="en-US"/>
        </w:rPr>
        <w:t xml:space="preserve"> </w:t>
      </w:r>
    </w:p>
    <w:p w14:paraId="417E0C1E" w14:textId="316ACB54" w:rsidR="00486C5E" w:rsidRPr="00676E48" w:rsidRDefault="00486C5E" w:rsidP="00486C5E">
      <w:pPr>
        <w:pStyle w:val="NormalIndent"/>
        <w:rPr>
          <w:lang w:eastAsia="en-US"/>
        </w:rPr>
      </w:pPr>
      <w:r>
        <w:rPr>
          <w:lang w:eastAsia="en-US"/>
        </w:rPr>
        <w:t xml:space="preserve">Examples of </w:t>
      </w:r>
      <w:r w:rsidR="00E92D03">
        <w:rPr>
          <w:lang w:eastAsia="en-US"/>
        </w:rPr>
        <w:t xml:space="preserve">SRIMS </w:t>
      </w:r>
      <w:r>
        <w:rPr>
          <w:lang w:eastAsia="en-US"/>
        </w:rPr>
        <w:t>p</w:t>
      </w:r>
      <w:r w:rsidRPr="00676E48">
        <w:rPr>
          <w:lang w:eastAsia="en-US"/>
        </w:rPr>
        <w:t>olicy</w:t>
      </w:r>
      <w:r>
        <w:rPr>
          <w:lang w:eastAsia="en-US"/>
        </w:rPr>
        <w:t xml:space="preserve"> journals include:</w:t>
      </w:r>
    </w:p>
    <w:p w14:paraId="1BA3C18E" w14:textId="07DC6E90" w:rsidR="00486C5E" w:rsidRDefault="00651606" w:rsidP="00486C5E">
      <w:pPr>
        <w:pStyle w:val="Bulletindent"/>
      </w:pPr>
      <w:r>
        <w:t>d</w:t>
      </w:r>
      <w:r w:rsidR="00486C5E">
        <w:t xml:space="preserve">ecisions from </w:t>
      </w:r>
      <w:r w:rsidR="0071403E">
        <w:t>B</w:t>
      </w:r>
      <w:r w:rsidR="00486C5E">
        <w:t>udget deliberations;</w:t>
      </w:r>
    </w:p>
    <w:p w14:paraId="74451237" w14:textId="77777777" w:rsidR="00486C5E" w:rsidRDefault="00486C5E" w:rsidP="00486C5E">
      <w:pPr>
        <w:pStyle w:val="Bulletindent"/>
      </w:pPr>
      <w:r>
        <w:t>Treasurer's Advance decisions; and</w:t>
      </w:r>
    </w:p>
    <w:p w14:paraId="18D8B993" w14:textId="77777777" w:rsidR="00486C5E" w:rsidRDefault="00486C5E" w:rsidP="00486C5E">
      <w:pPr>
        <w:pStyle w:val="Bulletindent"/>
      </w:pPr>
      <w:r>
        <w:t xml:space="preserve">Section </w:t>
      </w:r>
      <w:r w:rsidR="003F33B3">
        <w:t>37 Public Account advances</w:t>
      </w:r>
      <w:r>
        <w:t>.</w:t>
      </w:r>
    </w:p>
    <w:p w14:paraId="4D53FDF7" w14:textId="77777777" w:rsidR="003F0DC3" w:rsidRDefault="00486C5E" w:rsidP="003F0DC3">
      <w:pPr>
        <w:pStyle w:val="NormalIndent"/>
        <w:rPr>
          <w:lang w:eastAsia="en-US"/>
        </w:rPr>
      </w:pPr>
      <w:r>
        <w:rPr>
          <w:lang w:eastAsia="en-US"/>
        </w:rPr>
        <w:t>Departments can only increase their appropriation by applying for budget supplementation and receiving approval from the Treasurer or the relevant Cabinet committee.</w:t>
      </w:r>
    </w:p>
    <w:p w14:paraId="2A42C419" w14:textId="77777777" w:rsidR="003F0DC3" w:rsidRDefault="003F0DC3" w:rsidP="003F0DC3">
      <w:pPr>
        <w:pStyle w:val="NormalIndent"/>
        <w:rPr>
          <w:lang w:eastAsia="en-US"/>
        </w:rPr>
      </w:pPr>
      <w:r w:rsidRPr="000F010F">
        <w:rPr>
          <w:b/>
          <w:lang w:eastAsia="en-US"/>
        </w:rPr>
        <w:t>Non-</w:t>
      </w:r>
      <w:r>
        <w:rPr>
          <w:b/>
          <w:lang w:eastAsia="en-US"/>
        </w:rPr>
        <w:t>p</w:t>
      </w:r>
      <w:r w:rsidRPr="000F010F">
        <w:rPr>
          <w:b/>
          <w:lang w:eastAsia="en-US"/>
        </w:rPr>
        <w:t>olicy</w:t>
      </w:r>
      <w:r>
        <w:rPr>
          <w:b/>
          <w:lang w:eastAsia="en-US"/>
        </w:rPr>
        <w:t xml:space="preserve"> journal</w:t>
      </w:r>
      <w:r w:rsidRPr="000F010F">
        <w:rPr>
          <w:b/>
          <w:lang w:eastAsia="en-US"/>
        </w:rPr>
        <w:t>:</w:t>
      </w:r>
      <w:r>
        <w:rPr>
          <w:lang w:eastAsia="en-US"/>
        </w:rPr>
        <w:t xml:space="preserve"> A </w:t>
      </w:r>
      <w:r w:rsidRPr="000F010F">
        <w:rPr>
          <w:lang w:eastAsia="en-US"/>
        </w:rPr>
        <w:t>non-policy journal</w:t>
      </w:r>
      <w:r>
        <w:rPr>
          <w:lang w:eastAsia="en-US"/>
        </w:rPr>
        <w:t xml:space="preserve"> does not allow for a variation of appropriations. </w:t>
      </w:r>
    </w:p>
    <w:p w14:paraId="5E69C4FA" w14:textId="690730ED" w:rsidR="003F0DC3" w:rsidRDefault="003F0DC3" w:rsidP="003F0DC3">
      <w:pPr>
        <w:pStyle w:val="NormalIndent"/>
        <w:rPr>
          <w:lang w:eastAsia="en-US"/>
        </w:rPr>
      </w:pPr>
      <w:r>
        <w:rPr>
          <w:lang w:eastAsia="en-US"/>
        </w:rPr>
        <w:t>Examples of non-p</w:t>
      </w:r>
      <w:r w:rsidRPr="00676E48">
        <w:rPr>
          <w:lang w:eastAsia="en-US"/>
        </w:rPr>
        <w:t>olicy</w:t>
      </w:r>
      <w:r>
        <w:rPr>
          <w:lang w:eastAsia="en-US"/>
        </w:rPr>
        <w:t xml:space="preserve"> </w:t>
      </w:r>
      <w:r w:rsidR="00E92D03">
        <w:rPr>
          <w:lang w:eastAsia="en-US"/>
        </w:rPr>
        <w:t xml:space="preserve">SRIMS </w:t>
      </w:r>
      <w:r>
        <w:rPr>
          <w:lang w:eastAsia="en-US"/>
        </w:rPr>
        <w:t>journals include:</w:t>
      </w:r>
    </w:p>
    <w:p w14:paraId="1AB6991E" w14:textId="77777777" w:rsidR="003F0DC3" w:rsidRDefault="003F0DC3" w:rsidP="003F0DC3">
      <w:pPr>
        <w:pStyle w:val="Bulletindent"/>
      </w:pPr>
      <w:r>
        <w:t xml:space="preserve">reallocations between expense accounts; </w:t>
      </w:r>
    </w:p>
    <w:p w14:paraId="6A1CD5C2" w14:textId="77777777" w:rsidR="003F0DC3" w:rsidRDefault="003F0DC3" w:rsidP="003F0DC3">
      <w:pPr>
        <w:pStyle w:val="Bulletindent"/>
      </w:pPr>
      <w:r>
        <w:t>changes to third party revenue estimates;</w:t>
      </w:r>
      <w:r w:rsidR="003F33B3">
        <w:t xml:space="preserve"> and</w:t>
      </w:r>
    </w:p>
    <w:p w14:paraId="6F4166B7" w14:textId="77777777" w:rsidR="00486C5E" w:rsidRPr="003F0DC3" w:rsidRDefault="003F0DC3" w:rsidP="003F33B3">
      <w:pPr>
        <w:pStyle w:val="Bulletindent"/>
      </w:pPr>
      <w:r>
        <w:t>a</w:t>
      </w:r>
      <w:r w:rsidR="003F33B3">
        <w:t>sset revaluations/devaluations</w:t>
      </w:r>
      <w:r w:rsidR="00486C5E">
        <w:t>.</w:t>
      </w:r>
    </w:p>
    <w:p w14:paraId="7602DA92" w14:textId="77777777" w:rsidR="00857677" w:rsidRDefault="00857677">
      <w:pPr>
        <w:spacing w:before="0" w:after="200"/>
        <w:rPr>
          <w:rFonts w:asciiTheme="majorHAnsi" w:eastAsiaTheme="majorEastAsia" w:hAnsiTheme="majorHAnsi" w:cstheme="majorBidi"/>
          <w:b/>
          <w:bCs/>
          <w:color w:val="0063A6" w:themeColor="accent1"/>
          <w:sz w:val="28"/>
          <w:szCs w:val="26"/>
        </w:rPr>
      </w:pPr>
      <w:bookmarkStart w:id="532" w:name="_Toc445459779"/>
      <w:r>
        <w:br w:type="page"/>
      </w:r>
    </w:p>
    <w:p w14:paraId="31DC477B" w14:textId="5AFEA4BD" w:rsidR="00696C7D" w:rsidRDefault="00D174DC" w:rsidP="00696C7D">
      <w:pPr>
        <w:pStyle w:val="Heading2numbered"/>
      </w:pPr>
      <w:bookmarkStart w:id="533" w:name="_Toc476658160"/>
      <w:r>
        <w:lastRenderedPageBreak/>
        <w:t xml:space="preserve">Process for the creation of the fourth year estimates </w:t>
      </w:r>
      <w:r w:rsidR="00E92D03">
        <w:t xml:space="preserve">in SRIMS </w:t>
      </w:r>
      <w:r>
        <w:t>(rollover)</w:t>
      </w:r>
      <w:bookmarkEnd w:id="533"/>
    </w:p>
    <w:p w14:paraId="6AAF1ACA" w14:textId="77777777" w:rsidR="00D174DC" w:rsidRPr="00D174DC" w:rsidRDefault="00490F11" w:rsidP="00056F4E">
      <w:pPr>
        <w:pStyle w:val="Heading3indent"/>
      </w:pPr>
      <w:r>
        <w:t>Guidance</w:t>
      </w:r>
    </w:p>
    <w:p w14:paraId="5AA3A0CE" w14:textId="069EAE2B" w:rsidR="00FD7EE7" w:rsidRDefault="00FD7EE7" w:rsidP="00FD7EE7">
      <w:pPr>
        <w:spacing w:line="252" w:lineRule="auto"/>
        <w:ind w:left="792"/>
      </w:pPr>
      <w:r>
        <w:t xml:space="preserve">The Budget process involves the creation of the Budget year and the creation of three years of forward estimates, commencing after the newly Budgeted year, to assist with budget management. </w:t>
      </w:r>
      <w:r w:rsidR="00AC21AD">
        <w:t>A</w:t>
      </w:r>
      <w:r>
        <w:t>s each year’s Budget is created</w:t>
      </w:r>
      <w:r w:rsidR="00E92D03">
        <w:t xml:space="preserve"> in SRIMS</w:t>
      </w:r>
      <w:r>
        <w:t xml:space="preserve">, the final year of the forward estimates </w:t>
      </w:r>
      <w:r w:rsidR="00E92D03">
        <w:t xml:space="preserve">rolls forward to </w:t>
      </w:r>
      <w:r>
        <w:t>two years out, rather than three years out.</w:t>
      </w:r>
      <w:r w:rsidRPr="00FD7EE7">
        <w:t xml:space="preserve"> </w:t>
      </w:r>
    </w:p>
    <w:p w14:paraId="525CEE7A" w14:textId="77777777" w:rsidR="00FD7EE7" w:rsidRDefault="00FD7EE7" w:rsidP="00FD7EE7">
      <w:pPr>
        <w:spacing w:line="252" w:lineRule="auto"/>
        <w:ind w:left="792"/>
      </w:pPr>
      <w:r w:rsidRPr="00D174DC">
        <w:t xml:space="preserve">As </w:t>
      </w:r>
      <w:r>
        <w:t>such</w:t>
      </w:r>
      <w:r w:rsidRPr="00D174DC">
        <w:t xml:space="preserve">, a new estimates year is added </w:t>
      </w:r>
      <w:r>
        <w:t xml:space="preserve">each year, </w:t>
      </w:r>
      <w:r w:rsidRPr="00D174DC">
        <w:t>to the end of the last existing estimates</w:t>
      </w:r>
      <w:r>
        <w:t xml:space="preserve"> year</w:t>
      </w:r>
      <w:r w:rsidRPr="00D174DC">
        <w:t>.</w:t>
      </w:r>
      <w:r>
        <w:t xml:space="preserve"> This is known as creating the rollover year. </w:t>
      </w:r>
    </w:p>
    <w:p w14:paraId="5235B0E3" w14:textId="415442B3" w:rsidR="00FD7EE7" w:rsidRPr="00D174DC" w:rsidRDefault="00FD7EE7" w:rsidP="00FD7EE7">
      <w:pPr>
        <w:spacing w:line="252" w:lineRule="auto"/>
        <w:ind w:left="792"/>
      </w:pPr>
      <w:r w:rsidRPr="00D174DC">
        <w:t xml:space="preserve">This process </w:t>
      </w:r>
      <w:r w:rsidR="00E92D03">
        <w:t xml:space="preserve">in SRIMS </w:t>
      </w:r>
      <w:r w:rsidRPr="00D174DC">
        <w:t xml:space="preserve">typically occurs in October/November (after the finalisation of the State’s Annual Financial Report). These estimates are intended to capture the known funding </w:t>
      </w:r>
      <w:r>
        <w:t xml:space="preserve">for </w:t>
      </w:r>
      <w:r w:rsidRPr="00D174DC">
        <w:t>programs relevant to the State in that particular financial year.</w:t>
      </w:r>
    </w:p>
    <w:p w14:paraId="70CFC3E3" w14:textId="77777777" w:rsidR="00FD7EE7" w:rsidRPr="00FD7EE7" w:rsidRDefault="00FD7EE7" w:rsidP="00056F4E">
      <w:pPr>
        <w:pStyle w:val="Heading3indent"/>
      </w:pPr>
      <w:r>
        <w:t>E</w:t>
      </w:r>
      <w:r w:rsidRPr="00FD7EE7">
        <w:t>xplanation of the forward estimates</w:t>
      </w:r>
    </w:p>
    <w:p w14:paraId="6D9AC9FB" w14:textId="77777777" w:rsidR="00FD7EE7" w:rsidRPr="00FD7EE7" w:rsidRDefault="00FD7EE7" w:rsidP="00FD7EE7">
      <w:pPr>
        <w:spacing w:line="252" w:lineRule="auto"/>
        <w:ind w:left="792"/>
      </w:pPr>
      <w:r w:rsidRPr="00FD7EE7">
        <w:t>The ‘forward estimates’ consist of the current year</w:t>
      </w:r>
      <w:r w:rsidR="00651606">
        <w:t>, plus the following year plus three</w:t>
      </w:r>
      <w:r w:rsidRPr="00FD7EE7">
        <w:t xml:space="preserve"> additional years.</w:t>
      </w:r>
    </w:p>
    <w:p w14:paraId="66439F63" w14:textId="77777777" w:rsidR="00FD7EE7" w:rsidRPr="00FD7EE7" w:rsidRDefault="00FD7EE7" w:rsidP="00FD7EE7">
      <w:pPr>
        <w:spacing w:line="252" w:lineRule="auto"/>
        <w:ind w:left="792"/>
      </w:pPr>
      <w:r w:rsidRPr="00FD7EE7">
        <w:t>For example, the current forward estimates consist of the following years:</w:t>
      </w:r>
    </w:p>
    <w:tbl>
      <w:tblPr>
        <w:tblStyle w:val="DTFtexttable11"/>
        <w:tblW w:w="0" w:type="auto"/>
        <w:tblInd w:w="792" w:type="dxa"/>
        <w:tblLook w:val="04A0" w:firstRow="1" w:lastRow="0" w:firstColumn="1" w:lastColumn="0" w:noHBand="0" w:noVBand="1"/>
      </w:tblPr>
      <w:tblGrid>
        <w:gridCol w:w="1674"/>
        <w:gridCol w:w="1668"/>
        <w:gridCol w:w="1668"/>
        <w:gridCol w:w="1669"/>
        <w:gridCol w:w="1669"/>
      </w:tblGrid>
      <w:tr w:rsidR="00FD7EE7" w:rsidRPr="00AC21AD" w14:paraId="593BFA88" w14:textId="77777777" w:rsidTr="00A964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74" w:type="dxa"/>
          </w:tcPr>
          <w:p w14:paraId="4B4686E2" w14:textId="77777777" w:rsidR="00FD7EE7" w:rsidRPr="00D03A1C" w:rsidRDefault="00F60945" w:rsidP="00F60945">
            <w:pPr>
              <w:keepNext w:val="0"/>
              <w:keepLines w:val="0"/>
              <w:spacing w:line="252" w:lineRule="auto"/>
              <w:rPr>
                <w:rFonts w:eastAsiaTheme="minorEastAsia"/>
                <w:sz w:val="20"/>
                <w:szCs w:val="20"/>
                <w:lang w:eastAsia="en-AU"/>
              </w:rPr>
            </w:pPr>
            <w:r w:rsidRPr="00D03A1C">
              <w:rPr>
                <w:rFonts w:eastAsiaTheme="minorEastAsia"/>
                <w:sz w:val="20"/>
                <w:szCs w:val="20"/>
                <w:lang w:eastAsia="en-AU"/>
              </w:rPr>
              <w:t>Current</w:t>
            </w:r>
            <w:r w:rsidR="00FD7EE7" w:rsidRPr="00D03A1C">
              <w:rPr>
                <w:rFonts w:eastAsiaTheme="minorEastAsia"/>
                <w:sz w:val="20"/>
                <w:szCs w:val="20"/>
                <w:lang w:eastAsia="en-AU"/>
              </w:rPr>
              <w:t xml:space="preserve"> year</w:t>
            </w:r>
          </w:p>
        </w:tc>
        <w:tc>
          <w:tcPr>
            <w:tcW w:w="1668" w:type="dxa"/>
          </w:tcPr>
          <w:p w14:paraId="6BB177D9" w14:textId="77777777" w:rsidR="00FD7EE7" w:rsidRPr="00D03A1C" w:rsidRDefault="0071611B" w:rsidP="00FD7EE7">
            <w:pPr>
              <w:keepNext w:val="0"/>
              <w:keepLines w:val="0"/>
              <w:spacing w:line="252" w:lineRule="auto"/>
              <w:cnfStyle w:val="100000000000" w:firstRow="1" w:lastRow="0" w:firstColumn="0" w:lastColumn="0" w:oddVBand="0" w:evenVBand="0" w:oddHBand="0" w:evenHBand="0" w:firstRowFirstColumn="0" w:firstRowLastColumn="0" w:lastRowFirstColumn="0" w:lastRowLastColumn="0"/>
              <w:rPr>
                <w:rFonts w:eastAsiaTheme="minorEastAsia"/>
                <w:sz w:val="20"/>
                <w:szCs w:val="20"/>
                <w:lang w:eastAsia="en-AU"/>
              </w:rPr>
            </w:pPr>
            <w:r w:rsidRPr="00D03A1C">
              <w:rPr>
                <w:rFonts w:eastAsiaTheme="minorEastAsia"/>
                <w:sz w:val="20"/>
                <w:szCs w:val="20"/>
                <w:lang w:eastAsia="en-AU"/>
              </w:rPr>
              <w:t xml:space="preserve">Next </w:t>
            </w:r>
            <w:r w:rsidR="00FD7EE7" w:rsidRPr="00D03A1C">
              <w:rPr>
                <w:rFonts w:eastAsiaTheme="minorEastAsia"/>
                <w:sz w:val="20"/>
                <w:szCs w:val="20"/>
                <w:lang w:eastAsia="en-AU"/>
              </w:rPr>
              <w:t>Budget Year</w:t>
            </w:r>
          </w:p>
        </w:tc>
        <w:tc>
          <w:tcPr>
            <w:tcW w:w="1668" w:type="dxa"/>
          </w:tcPr>
          <w:p w14:paraId="124FA151" w14:textId="77777777" w:rsidR="00FD7EE7" w:rsidRPr="00D03A1C" w:rsidRDefault="00FD7EE7" w:rsidP="00FD7EE7">
            <w:pPr>
              <w:keepNext w:val="0"/>
              <w:keepLines w:val="0"/>
              <w:spacing w:line="252" w:lineRule="auto"/>
              <w:cnfStyle w:val="100000000000" w:firstRow="1" w:lastRow="0" w:firstColumn="0" w:lastColumn="0" w:oddVBand="0" w:evenVBand="0" w:oddHBand="0" w:evenHBand="0" w:firstRowFirstColumn="0" w:firstRowLastColumn="0" w:lastRowFirstColumn="0" w:lastRowLastColumn="0"/>
              <w:rPr>
                <w:rFonts w:eastAsiaTheme="minorEastAsia"/>
                <w:sz w:val="20"/>
                <w:szCs w:val="20"/>
                <w:lang w:eastAsia="en-AU"/>
              </w:rPr>
            </w:pPr>
            <w:r w:rsidRPr="00D03A1C">
              <w:rPr>
                <w:rFonts w:eastAsiaTheme="minorEastAsia"/>
                <w:sz w:val="20"/>
                <w:szCs w:val="20"/>
                <w:lang w:eastAsia="en-AU"/>
              </w:rPr>
              <w:t>Budget Year + 1</w:t>
            </w:r>
          </w:p>
        </w:tc>
        <w:tc>
          <w:tcPr>
            <w:tcW w:w="1669" w:type="dxa"/>
          </w:tcPr>
          <w:p w14:paraId="13EC600B" w14:textId="77777777" w:rsidR="00FD7EE7" w:rsidRPr="00D03A1C" w:rsidRDefault="00FD7EE7" w:rsidP="00FD7EE7">
            <w:pPr>
              <w:keepNext w:val="0"/>
              <w:keepLines w:val="0"/>
              <w:spacing w:line="252" w:lineRule="auto"/>
              <w:cnfStyle w:val="100000000000" w:firstRow="1" w:lastRow="0" w:firstColumn="0" w:lastColumn="0" w:oddVBand="0" w:evenVBand="0" w:oddHBand="0" w:evenHBand="0" w:firstRowFirstColumn="0" w:firstRowLastColumn="0" w:lastRowFirstColumn="0" w:lastRowLastColumn="0"/>
              <w:rPr>
                <w:rFonts w:eastAsiaTheme="minorEastAsia"/>
                <w:sz w:val="20"/>
                <w:szCs w:val="20"/>
                <w:lang w:eastAsia="en-AU"/>
              </w:rPr>
            </w:pPr>
            <w:r w:rsidRPr="00D03A1C">
              <w:rPr>
                <w:rFonts w:eastAsiaTheme="minorEastAsia"/>
                <w:sz w:val="20"/>
                <w:szCs w:val="20"/>
                <w:lang w:eastAsia="en-AU"/>
              </w:rPr>
              <w:t>Budget Year + 2</w:t>
            </w:r>
          </w:p>
        </w:tc>
        <w:tc>
          <w:tcPr>
            <w:tcW w:w="1669" w:type="dxa"/>
          </w:tcPr>
          <w:p w14:paraId="6E2D41A3" w14:textId="77777777" w:rsidR="00FD7EE7" w:rsidRPr="00D03A1C" w:rsidRDefault="00FD7EE7" w:rsidP="00FD7EE7">
            <w:pPr>
              <w:keepNext w:val="0"/>
              <w:keepLines w:val="0"/>
              <w:spacing w:line="252" w:lineRule="auto"/>
              <w:cnfStyle w:val="100000000000" w:firstRow="1" w:lastRow="0" w:firstColumn="0" w:lastColumn="0" w:oddVBand="0" w:evenVBand="0" w:oddHBand="0" w:evenHBand="0" w:firstRowFirstColumn="0" w:firstRowLastColumn="0" w:lastRowFirstColumn="0" w:lastRowLastColumn="0"/>
              <w:rPr>
                <w:rFonts w:eastAsiaTheme="minorEastAsia"/>
                <w:sz w:val="20"/>
                <w:szCs w:val="20"/>
                <w:lang w:eastAsia="en-AU"/>
              </w:rPr>
            </w:pPr>
            <w:r w:rsidRPr="00D03A1C">
              <w:rPr>
                <w:rFonts w:eastAsiaTheme="minorEastAsia"/>
                <w:sz w:val="20"/>
                <w:szCs w:val="20"/>
                <w:lang w:eastAsia="en-AU"/>
              </w:rPr>
              <w:t>Budget Year + 3</w:t>
            </w:r>
          </w:p>
        </w:tc>
      </w:tr>
      <w:tr w:rsidR="00FD7EE7" w:rsidRPr="00FD7EE7" w14:paraId="3A8DBF43" w14:textId="77777777" w:rsidTr="00A9643F">
        <w:tc>
          <w:tcPr>
            <w:cnfStyle w:val="001000000000" w:firstRow="0" w:lastRow="0" w:firstColumn="1" w:lastColumn="0" w:oddVBand="0" w:evenVBand="0" w:oddHBand="0" w:evenHBand="0" w:firstRowFirstColumn="0" w:firstRowLastColumn="0" w:lastRowFirstColumn="0" w:lastRowLastColumn="0"/>
            <w:tcW w:w="1674" w:type="dxa"/>
          </w:tcPr>
          <w:p w14:paraId="6D071808" w14:textId="77777777" w:rsidR="00FD7EE7" w:rsidRPr="00FD7EE7" w:rsidRDefault="00FD7EE7" w:rsidP="0071611B">
            <w:pPr>
              <w:spacing w:line="252" w:lineRule="auto"/>
              <w:rPr>
                <w:rFonts w:eastAsiaTheme="minorEastAsia"/>
                <w:sz w:val="20"/>
                <w:szCs w:val="20"/>
                <w:lang w:eastAsia="en-AU"/>
              </w:rPr>
            </w:pPr>
            <w:r w:rsidRPr="00FD7EE7">
              <w:rPr>
                <w:rFonts w:eastAsiaTheme="minorEastAsia"/>
                <w:sz w:val="20"/>
                <w:szCs w:val="20"/>
                <w:lang w:eastAsia="en-AU"/>
              </w:rPr>
              <w:t>201</w:t>
            </w:r>
            <w:r w:rsidR="0071611B">
              <w:rPr>
                <w:rFonts w:eastAsiaTheme="minorEastAsia"/>
                <w:sz w:val="20"/>
                <w:szCs w:val="20"/>
                <w:lang w:eastAsia="en-AU"/>
              </w:rPr>
              <w:t>6</w:t>
            </w:r>
            <w:r w:rsidRPr="00FD7EE7">
              <w:rPr>
                <w:rFonts w:eastAsiaTheme="minorEastAsia"/>
                <w:sz w:val="20"/>
                <w:szCs w:val="20"/>
                <w:lang w:eastAsia="en-AU"/>
              </w:rPr>
              <w:t>-1</w:t>
            </w:r>
            <w:r w:rsidR="0071611B">
              <w:rPr>
                <w:rFonts w:eastAsiaTheme="minorEastAsia"/>
                <w:sz w:val="20"/>
                <w:szCs w:val="20"/>
                <w:lang w:eastAsia="en-AU"/>
              </w:rPr>
              <w:t>7</w:t>
            </w:r>
          </w:p>
        </w:tc>
        <w:tc>
          <w:tcPr>
            <w:tcW w:w="1668" w:type="dxa"/>
          </w:tcPr>
          <w:p w14:paraId="4431E8F0" w14:textId="77777777" w:rsidR="00FD7EE7" w:rsidRPr="00FD7EE7" w:rsidRDefault="00FD7EE7" w:rsidP="0071611B">
            <w:pPr>
              <w:spacing w:line="25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AU"/>
              </w:rPr>
            </w:pPr>
            <w:r w:rsidRPr="00FD7EE7">
              <w:rPr>
                <w:rFonts w:eastAsiaTheme="minorEastAsia"/>
                <w:sz w:val="20"/>
                <w:szCs w:val="20"/>
                <w:lang w:eastAsia="en-AU"/>
              </w:rPr>
              <w:t>201</w:t>
            </w:r>
            <w:r w:rsidR="0071611B">
              <w:rPr>
                <w:rFonts w:eastAsiaTheme="minorEastAsia"/>
                <w:sz w:val="20"/>
                <w:szCs w:val="20"/>
                <w:lang w:eastAsia="en-AU"/>
              </w:rPr>
              <w:t>7</w:t>
            </w:r>
            <w:r w:rsidRPr="00FD7EE7">
              <w:rPr>
                <w:rFonts w:eastAsiaTheme="minorEastAsia"/>
                <w:sz w:val="20"/>
                <w:szCs w:val="20"/>
                <w:lang w:eastAsia="en-AU"/>
              </w:rPr>
              <w:t>-1</w:t>
            </w:r>
            <w:r w:rsidR="0071611B">
              <w:rPr>
                <w:rFonts w:eastAsiaTheme="minorEastAsia"/>
                <w:sz w:val="20"/>
                <w:szCs w:val="20"/>
                <w:lang w:eastAsia="en-AU"/>
              </w:rPr>
              <w:t>8</w:t>
            </w:r>
          </w:p>
        </w:tc>
        <w:tc>
          <w:tcPr>
            <w:tcW w:w="1668" w:type="dxa"/>
          </w:tcPr>
          <w:p w14:paraId="49C206BE" w14:textId="77777777" w:rsidR="00FD7EE7" w:rsidRPr="00FD7EE7" w:rsidRDefault="00FD7EE7" w:rsidP="0071611B">
            <w:pPr>
              <w:spacing w:line="25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AU"/>
              </w:rPr>
            </w:pPr>
            <w:r w:rsidRPr="00FD7EE7">
              <w:rPr>
                <w:rFonts w:eastAsiaTheme="minorEastAsia"/>
                <w:sz w:val="20"/>
                <w:szCs w:val="20"/>
                <w:lang w:eastAsia="en-AU"/>
              </w:rPr>
              <w:t>201</w:t>
            </w:r>
            <w:r w:rsidR="0071611B">
              <w:rPr>
                <w:rFonts w:eastAsiaTheme="minorEastAsia"/>
                <w:sz w:val="20"/>
                <w:szCs w:val="20"/>
                <w:lang w:eastAsia="en-AU"/>
              </w:rPr>
              <w:t>8</w:t>
            </w:r>
            <w:r w:rsidRPr="00FD7EE7">
              <w:rPr>
                <w:rFonts w:eastAsiaTheme="minorEastAsia"/>
                <w:sz w:val="20"/>
                <w:szCs w:val="20"/>
                <w:lang w:eastAsia="en-AU"/>
              </w:rPr>
              <w:t>-1</w:t>
            </w:r>
            <w:r w:rsidR="0071611B">
              <w:rPr>
                <w:rFonts w:eastAsiaTheme="minorEastAsia"/>
                <w:sz w:val="20"/>
                <w:szCs w:val="20"/>
                <w:lang w:eastAsia="en-AU"/>
              </w:rPr>
              <w:t>9</w:t>
            </w:r>
          </w:p>
        </w:tc>
        <w:tc>
          <w:tcPr>
            <w:tcW w:w="1669" w:type="dxa"/>
          </w:tcPr>
          <w:p w14:paraId="338992C5" w14:textId="77777777" w:rsidR="00FD7EE7" w:rsidRPr="00FD7EE7" w:rsidRDefault="00FD7EE7" w:rsidP="0071611B">
            <w:pPr>
              <w:spacing w:line="25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AU"/>
              </w:rPr>
            </w:pPr>
            <w:r w:rsidRPr="00FD7EE7">
              <w:rPr>
                <w:rFonts w:eastAsiaTheme="minorEastAsia"/>
                <w:sz w:val="20"/>
                <w:szCs w:val="20"/>
                <w:lang w:eastAsia="en-AU"/>
              </w:rPr>
              <w:t>201</w:t>
            </w:r>
            <w:r w:rsidR="0071611B">
              <w:rPr>
                <w:rFonts w:eastAsiaTheme="minorEastAsia"/>
                <w:sz w:val="20"/>
                <w:szCs w:val="20"/>
                <w:lang w:eastAsia="en-AU"/>
              </w:rPr>
              <w:t>9</w:t>
            </w:r>
            <w:r w:rsidRPr="00FD7EE7">
              <w:rPr>
                <w:rFonts w:eastAsiaTheme="minorEastAsia"/>
                <w:sz w:val="20"/>
                <w:szCs w:val="20"/>
                <w:lang w:eastAsia="en-AU"/>
              </w:rPr>
              <w:t>-</w:t>
            </w:r>
            <w:r w:rsidR="0071611B">
              <w:rPr>
                <w:rFonts w:eastAsiaTheme="minorEastAsia"/>
                <w:sz w:val="20"/>
                <w:szCs w:val="20"/>
                <w:lang w:eastAsia="en-AU"/>
              </w:rPr>
              <w:t>20</w:t>
            </w:r>
          </w:p>
        </w:tc>
        <w:tc>
          <w:tcPr>
            <w:tcW w:w="1669" w:type="dxa"/>
          </w:tcPr>
          <w:p w14:paraId="3FD0710C" w14:textId="77777777" w:rsidR="00FD7EE7" w:rsidRPr="00FD7EE7" w:rsidRDefault="00FD7EE7" w:rsidP="0071611B">
            <w:pPr>
              <w:spacing w:line="25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AU"/>
              </w:rPr>
            </w:pPr>
            <w:r w:rsidRPr="00FD7EE7">
              <w:rPr>
                <w:rFonts w:eastAsiaTheme="minorEastAsia"/>
                <w:sz w:val="20"/>
                <w:szCs w:val="20"/>
                <w:lang w:eastAsia="en-AU"/>
              </w:rPr>
              <w:t>20</w:t>
            </w:r>
            <w:r w:rsidR="0071611B">
              <w:rPr>
                <w:rFonts w:eastAsiaTheme="minorEastAsia"/>
                <w:sz w:val="20"/>
                <w:szCs w:val="20"/>
                <w:lang w:eastAsia="en-AU"/>
              </w:rPr>
              <w:t>20</w:t>
            </w:r>
            <w:r w:rsidRPr="00FD7EE7">
              <w:rPr>
                <w:rFonts w:eastAsiaTheme="minorEastAsia"/>
                <w:sz w:val="20"/>
                <w:szCs w:val="20"/>
                <w:lang w:eastAsia="en-AU"/>
              </w:rPr>
              <w:t>-2</w:t>
            </w:r>
            <w:r w:rsidR="0071611B">
              <w:rPr>
                <w:rFonts w:eastAsiaTheme="minorEastAsia"/>
                <w:sz w:val="20"/>
                <w:szCs w:val="20"/>
                <w:lang w:eastAsia="en-AU"/>
              </w:rPr>
              <w:t>1</w:t>
            </w:r>
          </w:p>
        </w:tc>
      </w:tr>
    </w:tbl>
    <w:p w14:paraId="6AEF4860" w14:textId="5F116757" w:rsidR="00FD7EE7" w:rsidRPr="00FD7EE7" w:rsidRDefault="00FD7EE7" w:rsidP="00FD7EE7">
      <w:pPr>
        <w:spacing w:line="252" w:lineRule="auto"/>
        <w:ind w:left="792"/>
      </w:pPr>
      <w:r w:rsidRPr="00FD7EE7">
        <w:t>Once the 201</w:t>
      </w:r>
      <w:r w:rsidR="0071611B">
        <w:t>7</w:t>
      </w:r>
      <w:r w:rsidRPr="00FD7EE7">
        <w:t>-1</w:t>
      </w:r>
      <w:r w:rsidR="0071611B">
        <w:t>8</w:t>
      </w:r>
      <w:r w:rsidRPr="00FD7EE7">
        <w:t xml:space="preserve"> </w:t>
      </w:r>
      <w:r w:rsidR="009377A9">
        <w:t>b</w:t>
      </w:r>
      <w:r w:rsidRPr="00FD7EE7">
        <w:t xml:space="preserve">udget year commences (1 July), </w:t>
      </w:r>
      <w:r w:rsidR="009377A9">
        <w:t>it</w:t>
      </w:r>
      <w:r w:rsidRPr="00FD7EE7">
        <w:t xml:space="preserve"> becomes the new </w:t>
      </w:r>
      <w:r w:rsidR="00937AF5">
        <w:t>current</w:t>
      </w:r>
      <w:r w:rsidRPr="00FD7EE7">
        <w:t xml:space="preserve"> year, the budget years get ‘rolled forward’ by one, which then creates the requirement for the new budget year (</w:t>
      </w:r>
      <w:r w:rsidR="00625513" w:rsidRPr="00FD7EE7">
        <w:t>i.e.</w:t>
      </w:r>
      <w:r w:rsidRPr="00FD7EE7">
        <w:t xml:space="preserve"> the rollover year).</w:t>
      </w:r>
    </w:p>
    <w:tbl>
      <w:tblPr>
        <w:tblStyle w:val="DTFtexttable11"/>
        <w:tblW w:w="0" w:type="auto"/>
        <w:tblInd w:w="792" w:type="dxa"/>
        <w:tblLook w:val="04A0" w:firstRow="1" w:lastRow="0" w:firstColumn="1" w:lastColumn="0" w:noHBand="0" w:noVBand="1"/>
      </w:tblPr>
      <w:tblGrid>
        <w:gridCol w:w="1674"/>
        <w:gridCol w:w="1668"/>
        <w:gridCol w:w="1668"/>
        <w:gridCol w:w="1669"/>
        <w:gridCol w:w="1669"/>
      </w:tblGrid>
      <w:tr w:rsidR="00FD7EE7" w:rsidRPr="00AC21AD" w14:paraId="33F06222" w14:textId="77777777" w:rsidTr="00A964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74" w:type="dxa"/>
            <w:vAlign w:val="top"/>
          </w:tcPr>
          <w:p w14:paraId="78B87F4F" w14:textId="77777777" w:rsidR="00FD7EE7" w:rsidRPr="00D03A1C" w:rsidRDefault="00F60945" w:rsidP="00FD7EE7">
            <w:pPr>
              <w:keepNext w:val="0"/>
              <w:keepLines w:val="0"/>
              <w:spacing w:line="252" w:lineRule="auto"/>
              <w:rPr>
                <w:rFonts w:eastAsiaTheme="minorEastAsia"/>
                <w:sz w:val="20"/>
                <w:szCs w:val="20"/>
                <w:lang w:eastAsia="en-AU"/>
              </w:rPr>
            </w:pPr>
            <w:r w:rsidRPr="00D03A1C">
              <w:rPr>
                <w:rFonts w:eastAsiaTheme="minorEastAsia"/>
                <w:sz w:val="20"/>
                <w:szCs w:val="20"/>
                <w:lang w:eastAsia="en-AU"/>
              </w:rPr>
              <w:t>Current</w:t>
            </w:r>
            <w:r w:rsidR="00FD7EE7" w:rsidRPr="00D03A1C">
              <w:rPr>
                <w:rFonts w:eastAsiaTheme="minorEastAsia"/>
                <w:sz w:val="20"/>
                <w:szCs w:val="20"/>
                <w:lang w:eastAsia="en-AU"/>
              </w:rPr>
              <w:t xml:space="preserve"> year</w:t>
            </w:r>
          </w:p>
        </w:tc>
        <w:tc>
          <w:tcPr>
            <w:tcW w:w="1668" w:type="dxa"/>
            <w:vAlign w:val="top"/>
          </w:tcPr>
          <w:p w14:paraId="58F90464" w14:textId="77777777" w:rsidR="00FD7EE7" w:rsidRPr="00D03A1C" w:rsidRDefault="00FD7EE7" w:rsidP="00FD7EE7">
            <w:pPr>
              <w:keepNext w:val="0"/>
              <w:keepLines w:val="0"/>
              <w:spacing w:line="252" w:lineRule="auto"/>
              <w:cnfStyle w:val="100000000000" w:firstRow="1" w:lastRow="0" w:firstColumn="0" w:lastColumn="0" w:oddVBand="0" w:evenVBand="0" w:oddHBand="0" w:evenHBand="0" w:firstRowFirstColumn="0" w:firstRowLastColumn="0" w:lastRowFirstColumn="0" w:lastRowLastColumn="0"/>
              <w:rPr>
                <w:rFonts w:eastAsiaTheme="minorEastAsia"/>
                <w:sz w:val="20"/>
                <w:szCs w:val="20"/>
                <w:lang w:eastAsia="en-AU"/>
              </w:rPr>
            </w:pPr>
            <w:r w:rsidRPr="00D03A1C">
              <w:rPr>
                <w:rFonts w:eastAsiaTheme="minorEastAsia"/>
                <w:sz w:val="20"/>
                <w:szCs w:val="20"/>
                <w:lang w:eastAsia="en-AU"/>
              </w:rPr>
              <w:t>Budget Year</w:t>
            </w:r>
          </w:p>
        </w:tc>
        <w:tc>
          <w:tcPr>
            <w:tcW w:w="1668" w:type="dxa"/>
            <w:vAlign w:val="top"/>
          </w:tcPr>
          <w:p w14:paraId="642A528F" w14:textId="77777777" w:rsidR="00FD7EE7" w:rsidRPr="00D03A1C" w:rsidRDefault="00FD7EE7" w:rsidP="00FD7EE7">
            <w:pPr>
              <w:keepNext w:val="0"/>
              <w:keepLines w:val="0"/>
              <w:spacing w:line="252" w:lineRule="auto"/>
              <w:cnfStyle w:val="100000000000" w:firstRow="1" w:lastRow="0" w:firstColumn="0" w:lastColumn="0" w:oddVBand="0" w:evenVBand="0" w:oddHBand="0" w:evenHBand="0" w:firstRowFirstColumn="0" w:firstRowLastColumn="0" w:lastRowFirstColumn="0" w:lastRowLastColumn="0"/>
              <w:rPr>
                <w:rFonts w:eastAsiaTheme="minorEastAsia"/>
                <w:sz w:val="20"/>
                <w:szCs w:val="20"/>
                <w:lang w:eastAsia="en-AU"/>
              </w:rPr>
            </w:pPr>
            <w:r w:rsidRPr="00D03A1C">
              <w:rPr>
                <w:rFonts w:eastAsiaTheme="minorEastAsia"/>
                <w:sz w:val="20"/>
                <w:szCs w:val="20"/>
                <w:lang w:eastAsia="en-AU"/>
              </w:rPr>
              <w:t>Budget Year + 1</w:t>
            </w:r>
          </w:p>
        </w:tc>
        <w:tc>
          <w:tcPr>
            <w:tcW w:w="1669" w:type="dxa"/>
            <w:vAlign w:val="top"/>
          </w:tcPr>
          <w:p w14:paraId="46AE16CF" w14:textId="77777777" w:rsidR="00FD7EE7" w:rsidRPr="00D03A1C" w:rsidRDefault="00FD7EE7" w:rsidP="00FD7EE7">
            <w:pPr>
              <w:keepNext w:val="0"/>
              <w:keepLines w:val="0"/>
              <w:spacing w:line="252" w:lineRule="auto"/>
              <w:cnfStyle w:val="100000000000" w:firstRow="1" w:lastRow="0" w:firstColumn="0" w:lastColumn="0" w:oddVBand="0" w:evenVBand="0" w:oddHBand="0" w:evenHBand="0" w:firstRowFirstColumn="0" w:firstRowLastColumn="0" w:lastRowFirstColumn="0" w:lastRowLastColumn="0"/>
              <w:rPr>
                <w:rFonts w:eastAsiaTheme="minorEastAsia"/>
                <w:sz w:val="20"/>
                <w:szCs w:val="20"/>
                <w:lang w:eastAsia="en-AU"/>
              </w:rPr>
            </w:pPr>
            <w:r w:rsidRPr="00D03A1C">
              <w:rPr>
                <w:rFonts w:eastAsiaTheme="minorEastAsia"/>
                <w:sz w:val="20"/>
                <w:szCs w:val="20"/>
                <w:lang w:eastAsia="en-AU"/>
              </w:rPr>
              <w:t>Budget Year + 2</w:t>
            </w:r>
          </w:p>
        </w:tc>
        <w:tc>
          <w:tcPr>
            <w:tcW w:w="1669" w:type="dxa"/>
            <w:shd w:val="clear" w:color="auto" w:fill="48ADFF" w:themeFill="accent4" w:themeFillTint="99"/>
            <w:vAlign w:val="top"/>
          </w:tcPr>
          <w:p w14:paraId="1FADDB64" w14:textId="77777777" w:rsidR="00FD7EE7" w:rsidRPr="00D03A1C" w:rsidRDefault="00FD7EE7" w:rsidP="00FD7EE7">
            <w:pPr>
              <w:keepNext w:val="0"/>
              <w:keepLines w:val="0"/>
              <w:spacing w:line="252" w:lineRule="auto"/>
              <w:cnfStyle w:val="100000000000" w:firstRow="1" w:lastRow="0" w:firstColumn="0" w:lastColumn="0" w:oddVBand="0" w:evenVBand="0" w:oddHBand="0" w:evenHBand="0" w:firstRowFirstColumn="0" w:firstRowLastColumn="0" w:lastRowFirstColumn="0" w:lastRowLastColumn="0"/>
              <w:rPr>
                <w:rFonts w:eastAsiaTheme="minorEastAsia"/>
                <w:sz w:val="20"/>
                <w:szCs w:val="20"/>
                <w:lang w:eastAsia="en-AU"/>
              </w:rPr>
            </w:pPr>
            <w:r w:rsidRPr="00D03A1C">
              <w:rPr>
                <w:rFonts w:eastAsiaTheme="minorEastAsia"/>
                <w:sz w:val="20"/>
                <w:szCs w:val="20"/>
                <w:lang w:eastAsia="en-AU"/>
              </w:rPr>
              <w:t>Budget Year + 3</w:t>
            </w:r>
          </w:p>
          <w:p w14:paraId="6BC65D26" w14:textId="77777777" w:rsidR="00FD7EE7" w:rsidRPr="00D03A1C" w:rsidRDefault="00FD7EE7" w:rsidP="00FD7EE7">
            <w:pPr>
              <w:keepNext w:val="0"/>
              <w:keepLines w:val="0"/>
              <w:spacing w:line="252" w:lineRule="auto"/>
              <w:cnfStyle w:val="100000000000" w:firstRow="1" w:lastRow="0" w:firstColumn="0" w:lastColumn="0" w:oddVBand="0" w:evenVBand="0" w:oddHBand="0" w:evenHBand="0" w:firstRowFirstColumn="0" w:firstRowLastColumn="0" w:lastRowFirstColumn="0" w:lastRowLastColumn="0"/>
              <w:rPr>
                <w:rFonts w:eastAsiaTheme="minorEastAsia"/>
                <w:sz w:val="20"/>
                <w:szCs w:val="20"/>
                <w:lang w:eastAsia="en-AU"/>
              </w:rPr>
            </w:pPr>
            <w:r w:rsidRPr="00D03A1C">
              <w:rPr>
                <w:rFonts w:eastAsiaTheme="minorEastAsia"/>
                <w:sz w:val="20"/>
                <w:szCs w:val="20"/>
                <w:lang w:eastAsia="en-AU"/>
              </w:rPr>
              <w:t>(rollover year)</w:t>
            </w:r>
          </w:p>
        </w:tc>
      </w:tr>
      <w:tr w:rsidR="00FD7EE7" w:rsidRPr="00FD7EE7" w14:paraId="3A0E24F5" w14:textId="77777777" w:rsidTr="00A9643F">
        <w:tc>
          <w:tcPr>
            <w:cnfStyle w:val="001000000000" w:firstRow="0" w:lastRow="0" w:firstColumn="1" w:lastColumn="0" w:oddVBand="0" w:evenVBand="0" w:oddHBand="0" w:evenHBand="0" w:firstRowFirstColumn="0" w:firstRowLastColumn="0" w:lastRowFirstColumn="0" w:lastRowLastColumn="0"/>
            <w:tcW w:w="1674" w:type="dxa"/>
          </w:tcPr>
          <w:p w14:paraId="27F17869" w14:textId="77777777" w:rsidR="00FD7EE7" w:rsidRPr="00FD7EE7" w:rsidRDefault="00FD7EE7" w:rsidP="007A6E36">
            <w:pPr>
              <w:spacing w:line="252" w:lineRule="auto"/>
              <w:rPr>
                <w:rFonts w:eastAsiaTheme="minorEastAsia"/>
                <w:sz w:val="20"/>
                <w:szCs w:val="20"/>
                <w:lang w:eastAsia="en-AU"/>
              </w:rPr>
            </w:pPr>
            <w:r w:rsidRPr="00FD7EE7">
              <w:rPr>
                <w:rFonts w:eastAsiaTheme="minorEastAsia"/>
                <w:sz w:val="20"/>
                <w:szCs w:val="20"/>
                <w:lang w:eastAsia="en-AU"/>
              </w:rPr>
              <w:t>201</w:t>
            </w:r>
            <w:r w:rsidR="007A6E36">
              <w:rPr>
                <w:rFonts w:eastAsiaTheme="minorEastAsia"/>
                <w:sz w:val="20"/>
                <w:szCs w:val="20"/>
                <w:lang w:eastAsia="en-AU"/>
              </w:rPr>
              <w:t>7</w:t>
            </w:r>
            <w:r w:rsidRPr="00FD7EE7">
              <w:rPr>
                <w:rFonts w:eastAsiaTheme="minorEastAsia"/>
                <w:sz w:val="20"/>
                <w:szCs w:val="20"/>
                <w:lang w:eastAsia="en-AU"/>
              </w:rPr>
              <w:t>-1</w:t>
            </w:r>
            <w:r w:rsidR="007A6E36">
              <w:rPr>
                <w:rFonts w:eastAsiaTheme="minorEastAsia"/>
                <w:sz w:val="20"/>
                <w:szCs w:val="20"/>
                <w:lang w:eastAsia="en-AU"/>
              </w:rPr>
              <w:t>8</w:t>
            </w:r>
          </w:p>
        </w:tc>
        <w:tc>
          <w:tcPr>
            <w:tcW w:w="1668" w:type="dxa"/>
          </w:tcPr>
          <w:p w14:paraId="75A5279D" w14:textId="77777777" w:rsidR="00FD7EE7" w:rsidRPr="00FD7EE7" w:rsidRDefault="00FD7EE7" w:rsidP="007A6E36">
            <w:pPr>
              <w:spacing w:line="25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AU"/>
              </w:rPr>
            </w:pPr>
            <w:r w:rsidRPr="00FD7EE7">
              <w:rPr>
                <w:rFonts w:eastAsiaTheme="minorEastAsia"/>
                <w:sz w:val="20"/>
                <w:szCs w:val="20"/>
                <w:lang w:eastAsia="en-AU"/>
              </w:rPr>
              <w:t>201</w:t>
            </w:r>
            <w:r w:rsidR="007A6E36">
              <w:rPr>
                <w:rFonts w:eastAsiaTheme="minorEastAsia"/>
                <w:sz w:val="20"/>
                <w:szCs w:val="20"/>
                <w:lang w:eastAsia="en-AU"/>
              </w:rPr>
              <w:t>8</w:t>
            </w:r>
            <w:r w:rsidRPr="00FD7EE7">
              <w:rPr>
                <w:rFonts w:eastAsiaTheme="minorEastAsia"/>
                <w:sz w:val="20"/>
                <w:szCs w:val="20"/>
                <w:lang w:eastAsia="en-AU"/>
              </w:rPr>
              <w:t>-1</w:t>
            </w:r>
            <w:r w:rsidR="007A6E36">
              <w:rPr>
                <w:rFonts w:eastAsiaTheme="minorEastAsia"/>
                <w:sz w:val="20"/>
                <w:szCs w:val="20"/>
                <w:lang w:eastAsia="en-AU"/>
              </w:rPr>
              <w:t>9</w:t>
            </w:r>
          </w:p>
        </w:tc>
        <w:tc>
          <w:tcPr>
            <w:tcW w:w="1668" w:type="dxa"/>
          </w:tcPr>
          <w:p w14:paraId="5BED9936" w14:textId="77777777" w:rsidR="00FD7EE7" w:rsidRPr="00FD7EE7" w:rsidRDefault="00FD7EE7" w:rsidP="007A6E36">
            <w:pPr>
              <w:spacing w:line="25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AU"/>
              </w:rPr>
            </w:pPr>
            <w:r w:rsidRPr="00FD7EE7">
              <w:rPr>
                <w:rFonts w:eastAsiaTheme="minorEastAsia"/>
                <w:sz w:val="20"/>
                <w:szCs w:val="20"/>
                <w:lang w:eastAsia="en-AU"/>
              </w:rPr>
              <w:t>201</w:t>
            </w:r>
            <w:r w:rsidR="007A6E36">
              <w:rPr>
                <w:rFonts w:eastAsiaTheme="minorEastAsia"/>
                <w:sz w:val="20"/>
                <w:szCs w:val="20"/>
                <w:lang w:eastAsia="en-AU"/>
              </w:rPr>
              <w:t>9</w:t>
            </w:r>
            <w:r w:rsidRPr="00FD7EE7">
              <w:rPr>
                <w:rFonts w:eastAsiaTheme="minorEastAsia"/>
                <w:sz w:val="20"/>
                <w:szCs w:val="20"/>
                <w:lang w:eastAsia="en-AU"/>
              </w:rPr>
              <w:t>-</w:t>
            </w:r>
            <w:r w:rsidR="007A6E36">
              <w:rPr>
                <w:rFonts w:eastAsiaTheme="minorEastAsia"/>
                <w:sz w:val="20"/>
                <w:szCs w:val="20"/>
                <w:lang w:eastAsia="en-AU"/>
              </w:rPr>
              <w:t>20</w:t>
            </w:r>
          </w:p>
        </w:tc>
        <w:tc>
          <w:tcPr>
            <w:tcW w:w="1669" w:type="dxa"/>
          </w:tcPr>
          <w:p w14:paraId="451B8B1A" w14:textId="77777777" w:rsidR="00FD7EE7" w:rsidRPr="00FD7EE7" w:rsidRDefault="00FD7EE7" w:rsidP="007A6E36">
            <w:pPr>
              <w:spacing w:line="25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AU"/>
              </w:rPr>
            </w:pPr>
            <w:r w:rsidRPr="00FD7EE7">
              <w:rPr>
                <w:rFonts w:eastAsiaTheme="minorEastAsia"/>
                <w:sz w:val="20"/>
                <w:szCs w:val="20"/>
                <w:lang w:eastAsia="en-AU"/>
              </w:rPr>
              <w:t>20</w:t>
            </w:r>
            <w:r w:rsidR="007A6E36">
              <w:rPr>
                <w:rFonts w:eastAsiaTheme="minorEastAsia"/>
                <w:sz w:val="20"/>
                <w:szCs w:val="20"/>
                <w:lang w:eastAsia="en-AU"/>
              </w:rPr>
              <w:t>20</w:t>
            </w:r>
            <w:r w:rsidRPr="00FD7EE7">
              <w:rPr>
                <w:rFonts w:eastAsiaTheme="minorEastAsia"/>
                <w:sz w:val="20"/>
                <w:szCs w:val="20"/>
                <w:lang w:eastAsia="en-AU"/>
              </w:rPr>
              <w:t>-2</w:t>
            </w:r>
            <w:r w:rsidR="007A6E36">
              <w:rPr>
                <w:rFonts w:eastAsiaTheme="minorEastAsia"/>
                <w:sz w:val="20"/>
                <w:szCs w:val="20"/>
                <w:lang w:eastAsia="en-AU"/>
              </w:rPr>
              <w:t>1</w:t>
            </w:r>
          </w:p>
        </w:tc>
        <w:tc>
          <w:tcPr>
            <w:tcW w:w="1669" w:type="dxa"/>
          </w:tcPr>
          <w:p w14:paraId="4CB44028" w14:textId="77777777" w:rsidR="00FD7EE7" w:rsidRPr="00FD7EE7" w:rsidRDefault="00FD7EE7" w:rsidP="007A6E36">
            <w:pPr>
              <w:spacing w:line="25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en-AU"/>
              </w:rPr>
            </w:pPr>
            <w:r w:rsidRPr="00FD7EE7">
              <w:rPr>
                <w:rFonts w:eastAsiaTheme="minorEastAsia"/>
                <w:sz w:val="20"/>
                <w:szCs w:val="20"/>
                <w:lang w:eastAsia="en-AU"/>
              </w:rPr>
              <w:t>202</w:t>
            </w:r>
            <w:r w:rsidR="007A6E36">
              <w:rPr>
                <w:rFonts w:eastAsiaTheme="minorEastAsia"/>
                <w:sz w:val="20"/>
                <w:szCs w:val="20"/>
                <w:lang w:eastAsia="en-AU"/>
              </w:rPr>
              <w:t>1</w:t>
            </w:r>
            <w:r w:rsidRPr="00FD7EE7">
              <w:rPr>
                <w:rFonts w:eastAsiaTheme="minorEastAsia"/>
                <w:sz w:val="20"/>
                <w:szCs w:val="20"/>
                <w:lang w:eastAsia="en-AU"/>
              </w:rPr>
              <w:t>-2</w:t>
            </w:r>
            <w:r w:rsidR="007A6E36">
              <w:rPr>
                <w:rFonts w:eastAsiaTheme="minorEastAsia"/>
                <w:sz w:val="20"/>
                <w:szCs w:val="20"/>
                <w:lang w:eastAsia="en-AU"/>
              </w:rPr>
              <w:t>2</w:t>
            </w:r>
          </w:p>
        </w:tc>
      </w:tr>
    </w:tbl>
    <w:p w14:paraId="4BACB075" w14:textId="77777777" w:rsidR="00D174DC" w:rsidRPr="00D174DC" w:rsidRDefault="00D174DC" w:rsidP="00056F4E">
      <w:pPr>
        <w:pStyle w:val="Heading3indent"/>
      </w:pPr>
      <w:r w:rsidRPr="00D174DC">
        <w:t>The rollover creation process</w:t>
      </w:r>
    </w:p>
    <w:p w14:paraId="3AFA5019" w14:textId="77777777" w:rsidR="00D174DC" w:rsidRPr="00D174DC" w:rsidRDefault="00D174DC" w:rsidP="00D174DC">
      <w:pPr>
        <w:spacing w:line="252" w:lineRule="auto"/>
        <w:ind w:left="792"/>
      </w:pPr>
      <w:r w:rsidRPr="00D174DC">
        <w:t xml:space="preserve">Currently, the rollover and creation of a new estimates year is </w:t>
      </w:r>
      <w:r w:rsidR="00820E1C">
        <w:t>carried out</w:t>
      </w:r>
      <w:r w:rsidRPr="00D174DC">
        <w:t xml:space="preserve"> by DTF each year as part of the Budget Update process in November.</w:t>
      </w:r>
    </w:p>
    <w:p w14:paraId="2FDF8F86" w14:textId="77777777" w:rsidR="00D174DC" w:rsidRPr="00D174DC" w:rsidRDefault="00D174DC" w:rsidP="00D174DC">
      <w:pPr>
        <w:spacing w:line="252" w:lineRule="auto"/>
        <w:ind w:left="792"/>
      </w:pPr>
      <w:r w:rsidRPr="00D174DC">
        <w:t>This involves the following steps:</w:t>
      </w:r>
    </w:p>
    <w:p w14:paraId="2E91C340" w14:textId="7156795C" w:rsidR="00D174DC" w:rsidRPr="00D174DC" w:rsidRDefault="00D174DC" w:rsidP="00AE6D71">
      <w:pPr>
        <w:pStyle w:val="Numparaindent"/>
      </w:pPr>
      <w:r w:rsidRPr="00D174DC">
        <w:t xml:space="preserve">DTF copies over the estimates (movements) from the previous </w:t>
      </w:r>
      <w:r w:rsidR="00AC21AD">
        <w:t>year into the new year created in SRIMS.</w:t>
      </w:r>
    </w:p>
    <w:p w14:paraId="28FC313D" w14:textId="1D7AA227" w:rsidR="00D174DC" w:rsidRPr="00D174DC" w:rsidRDefault="00D174DC" w:rsidP="00937AF5">
      <w:pPr>
        <w:pStyle w:val="Numparaindent"/>
      </w:pPr>
      <w:r w:rsidRPr="00D174DC">
        <w:t>DTF then processes journal entries to adjust these estimates for any Departmental</w:t>
      </w:r>
      <w:r w:rsidR="00324A80">
        <w:t xml:space="preserve"> Funding Model (DFM) indexation</w:t>
      </w:r>
      <w:r w:rsidRPr="00D174DC">
        <w:t xml:space="preserve"> and General Efficiency Dividend (GED). These adjustments are applied to </w:t>
      </w:r>
      <w:r w:rsidR="00E92D03">
        <w:t xml:space="preserve">each </w:t>
      </w:r>
      <w:r w:rsidRPr="00D174DC">
        <w:t>department</w:t>
      </w:r>
      <w:r w:rsidR="00E92D03">
        <w:t>’s</w:t>
      </w:r>
      <w:r w:rsidRPr="00D174DC">
        <w:t xml:space="preserve"> appropriation revenue</w:t>
      </w:r>
      <w:r w:rsidR="00E92D03">
        <w:t xml:space="preserve"> item</w:t>
      </w:r>
      <w:r w:rsidRPr="00D174DC">
        <w:t>, with the associated expense amount for the new year allocated to the Indexation Adjustment Account (86999).</w:t>
      </w:r>
    </w:p>
    <w:p w14:paraId="6DF9B378" w14:textId="77777777" w:rsidR="00D174DC" w:rsidRPr="00D174DC" w:rsidRDefault="00D174DC" w:rsidP="00AE6D71">
      <w:pPr>
        <w:pStyle w:val="Numparaindent"/>
      </w:pPr>
      <w:r w:rsidRPr="00D174DC">
        <w:t xml:space="preserve">Departments are then required to submit journals for items that need to be adjusted and also to reallocate the amount from the Indexation Adjustment Account to appropriate expense accounts. </w:t>
      </w:r>
    </w:p>
    <w:p w14:paraId="1F66F948" w14:textId="77777777" w:rsidR="00D174DC" w:rsidRPr="00D174DC" w:rsidRDefault="00D174DC" w:rsidP="00056F4E">
      <w:pPr>
        <w:pStyle w:val="Heading3indent"/>
      </w:pPr>
      <w:r w:rsidRPr="00D174DC">
        <w:lastRenderedPageBreak/>
        <w:t>Timing</w:t>
      </w:r>
    </w:p>
    <w:p w14:paraId="251820F3" w14:textId="1926F30A" w:rsidR="00B47296" w:rsidRDefault="00D174DC" w:rsidP="00857677">
      <w:pPr>
        <w:pStyle w:val="NormalIndent"/>
      </w:pPr>
      <w:r w:rsidRPr="00D174DC">
        <w:t>The revised rollover pro</w:t>
      </w:r>
      <w:r w:rsidR="00486C5E">
        <w:t xml:space="preserve">cess commences in October (post finalisation of the </w:t>
      </w:r>
      <w:r w:rsidRPr="00D174DC">
        <w:t>A</w:t>
      </w:r>
      <w:r w:rsidR="00486C5E">
        <w:t xml:space="preserve">nnual </w:t>
      </w:r>
      <w:r w:rsidRPr="00D174DC">
        <w:t>F</w:t>
      </w:r>
      <w:r w:rsidR="00486C5E">
        <w:t>inancial Report)</w:t>
      </w:r>
      <w:r w:rsidRPr="00D174DC">
        <w:t xml:space="preserve">, and </w:t>
      </w:r>
      <w:r w:rsidR="00486C5E">
        <w:t>is usually</w:t>
      </w:r>
      <w:r w:rsidRPr="00D174DC">
        <w:t xml:space="preserve"> completed by </w:t>
      </w:r>
      <w:r w:rsidR="007E520F">
        <w:t>the end of January.</w:t>
      </w:r>
    </w:p>
    <w:p w14:paraId="064686C6" w14:textId="77777777" w:rsidR="00857677" w:rsidRDefault="00857677" w:rsidP="00857677">
      <w:pPr>
        <w:pStyle w:val="NormalIndent"/>
        <w:rPr>
          <w:rFonts w:asciiTheme="majorHAnsi" w:eastAsiaTheme="majorEastAsia" w:hAnsiTheme="majorHAnsi" w:cstheme="majorBidi"/>
          <w:b/>
          <w:bCs/>
          <w:iCs/>
          <w:color w:val="53565A"/>
          <w:sz w:val="21"/>
        </w:rPr>
      </w:pPr>
    </w:p>
    <w:p w14:paraId="680BD2EE" w14:textId="7C56B2D9" w:rsidR="00C21EFA" w:rsidRDefault="00D174DC" w:rsidP="00056F4E">
      <w:pPr>
        <w:pStyle w:val="Heading4indent"/>
      </w:pPr>
      <w:r w:rsidRPr="00D174DC">
        <w:t>List of items to consider in a rollover process</w:t>
      </w:r>
    </w:p>
    <w:p w14:paraId="28A7DFD6" w14:textId="5008763F" w:rsidR="00D174DC" w:rsidRPr="00E400A9" w:rsidRDefault="00D174DC" w:rsidP="00056F4E">
      <w:pPr>
        <w:pStyle w:val="NormalIndent"/>
      </w:pPr>
      <w:r w:rsidRPr="00D174DC">
        <w:t>Below is a list of items for Departments to consider when completing a rollover and creation of the new forward estimates year. Note this is not an exhaustive list</w:t>
      </w:r>
      <w:r w:rsidR="00D03A1C">
        <w:t xml:space="preserve"> </w:t>
      </w:r>
      <w:r w:rsidR="009377A9">
        <w:t>and</w:t>
      </w:r>
      <w:r w:rsidRPr="00D174DC">
        <w:t xml:space="preserve"> </w:t>
      </w:r>
      <w:r w:rsidR="00F03E57">
        <w:t xml:space="preserve">is </w:t>
      </w:r>
      <w:r w:rsidRPr="00D174DC">
        <w:t xml:space="preserve">intended to </w:t>
      </w:r>
      <w:r w:rsidRPr="00E400A9">
        <w:t>be a guide only.</w:t>
      </w:r>
    </w:p>
    <w:tbl>
      <w:tblPr>
        <w:tblStyle w:val="DTFtexttableindent"/>
        <w:tblW w:w="0" w:type="auto"/>
        <w:tblLook w:val="0420" w:firstRow="1" w:lastRow="0" w:firstColumn="0" w:lastColumn="0" w:noHBand="0" w:noVBand="1"/>
      </w:tblPr>
      <w:tblGrid>
        <w:gridCol w:w="3440"/>
        <w:gridCol w:w="4697"/>
      </w:tblGrid>
      <w:tr w:rsidR="00937AF5" w:rsidRPr="00937AF5" w14:paraId="0C7992E9" w14:textId="77777777" w:rsidTr="00B47296">
        <w:trPr>
          <w:cnfStyle w:val="100000000000" w:firstRow="1" w:lastRow="0" w:firstColumn="0" w:lastColumn="0" w:oddVBand="0" w:evenVBand="0" w:oddHBand="0" w:evenHBand="0" w:firstRowFirstColumn="0" w:firstRowLastColumn="0" w:lastRowFirstColumn="0" w:lastRowLastColumn="0"/>
        </w:trPr>
        <w:tc>
          <w:tcPr>
            <w:tcW w:w="3440" w:type="dxa"/>
          </w:tcPr>
          <w:p w14:paraId="5DB42ABF" w14:textId="77777777" w:rsidR="00937AF5" w:rsidRPr="00937AF5" w:rsidRDefault="00937AF5" w:rsidP="00056F4E">
            <w:pPr>
              <w:pStyle w:val="Tableheader"/>
            </w:pPr>
            <w:r w:rsidRPr="00937AF5">
              <w:t>Item</w:t>
            </w:r>
          </w:p>
        </w:tc>
        <w:tc>
          <w:tcPr>
            <w:tcW w:w="4697" w:type="dxa"/>
          </w:tcPr>
          <w:p w14:paraId="63D8BA8D" w14:textId="77777777" w:rsidR="00937AF5" w:rsidRPr="00937AF5" w:rsidRDefault="00937AF5" w:rsidP="00056F4E">
            <w:pPr>
              <w:pStyle w:val="Tableheader"/>
            </w:pPr>
            <w:r w:rsidRPr="00937AF5">
              <w:t>Comments</w:t>
            </w:r>
          </w:p>
        </w:tc>
      </w:tr>
      <w:tr w:rsidR="00937AF5" w:rsidRPr="00937AF5" w14:paraId="1031ECBB" w14:textId="77777777" w:rsidTr="00B47296">
        <w:tc>
          <w:tcPr>
            <w:tcW w:w="3440" w:type="dxa"/>
          </w:tcPr>
          <w:p w14:paraId="2F05A666" w14:textId="77777777" w:rsidR="00937AF5" w:rsidRPr="00937AF5" w:rsidRDefault="00937AF5" w:rsidP="00056F4E">
            <w:pPr>
              <w:pStyle w:val="Tabletext"/>
            </w:pPr>
            <w:r w:rsidRPr="00937AF5">
              <w:t>Ensuring the removal of sun-setting initiatives</w:t>
            </w:r>
          </w:p>
        </w:tc>
        <w:tc>
          <w:tcPr>
            <w:tcW w:w="4697" w:type="dxa"/>
          </w:tcPr>
          <w:p w14:paraId="06CD61E9" w14:textId="77777777" w:rsidR="00937AF5" w:rsidRPr="00937AF5" w:rsidRDefault="00937AF5" w:rsidP="00056F4E">
            <w:pPr>
              <w:pStyle w:val="Tabletext"/>
            </w:pPr>
            <w:r w:rsidRPr="00937AF5">
              <w:t>DTF will review all journal entries to ensure that lapsing programs have not been reinstated</w:t>
            </w:r>
            <w:r w:rsidR="00324A80">
              <w:t>.</w:t>
            </w:r>
          </w:p>
        </w:tc>
      </w:tr>
      <w:tr w:rsidR="00937AF5" w:rsidRPr="00937AF5" w14:paraId="3C5FFFB8" w14:textId="77777777" w:rsidTr="00B47296">
        <w:trPr>
          <w:cnfStyle w:val="000000010000" w:firstRow="0" w:lastRow="0" w:firstColumn="0" w:lastColumn="0" w:oddVBand="0" w:evenVBand="0" w:oddHBand="0" w:evenHBand="1" w:firstRowFirstColumn="0" w:firstRowLastColumn="0" w:lastRowFirstColumn="0" w:lastRowLastColumn="0"/>
          <w:trHeight w:val="1996"/>
        </w:trPr>
        <w:tc>
          <w:tcPr>
            <w:tcW w:w="3440" w:type="dxa"/>
          </w:tcPr>
          <w:p w14:paraId="6653878A" w14:textId="0891C61B" w:rsidR="00937AF5" w:rsidRPr="00937AF5" w:rsidRDefault="00937AF5" w:rsidP="00056F4E">
            <w:pPr>
              <w:pStyle w:val="Tabletext"/>
            </w:pPr>
            <w:r w:rsidRPr="00937AF5">
              <w:t xml:space="preserve">Changes to Special </w:t>
            </w:r>
            <w:r w:rsidR="00A0321F">
              <w:t>A</w:t>
            </w:r>
            <w:r w:rsidRPr="00937AF5">
              <w:t>ppropriation:</w:t>
            </w:r>
          </w:p>
          <w:p w14:paraId="2D83AF85" w14:textId="77777777" w:rsidR="00937AF5" w:rsidRPr="00937AF5" w:rsidRDefault="00937AF5" w:rsidP="00056F4E">
            <w:pPr>
              <w:pStyle w:val="Tabletext"/>
            </w:pPr>
            <w:r w:rsidRPr="00937AF5">
              <w:t>Examples include Hypothecated revenue, Judicial Salaries and Electoral Commission appropriation</w:t>
            </w:r>
          </w:p>
        </w:tc>
        <w:tc>
          <w:tcPr>
            <w:tcW w:w="4697" w:type="dxa"/>
          </w:tcPr>
          <w:p w14:paraId="2FF15ADB" w14:textId="5B699DEC" w:rsidR="00937AF5" w:rsidRPr="00937AF5" w:rsidRDefault="00937AF5" w:rsidP="00056F4E">
            <w:pPr>
              <w:pStyle w:val="Tabletext"/>
            </w:pPr>
            <w:r w:rsidRPr="00937AF5">
              <w:t>DTF will check the amounts posted are reasonable in terms of growth over the forward estimates (relative to actuals and existing forward estimates) and will request an explanation if the estimates look significantly different to what is expected.</w:t>
            </w:r>
          </w:p>
          <w:p w14:paraId="59375FB8" w14:textId="7DDC55B3" w:rsidR="00937AF5" w:rsidRPr="00937AF5" w:rsidRDefault="00937AF5" w:rsidP="00056F4E">
            <w:pPr>
              <w:pStyle w:val="Tabletext"/>
            </w:pPr>
            <w:r w:rsidRPr="00937AF5">
              <w:t>Note some special appropriations substantially vary in accordance with the underlying purpose (e.g. Electoral Commission).</w:t>
            </w:r>
          </w:p>
        </w:tc>
      </w:tr>
      <w:tr w:rsidR="00937AF5" w:rsidRPr="00937AF5" w14:paraId="7A55AD68" w14:textId="77777777" w:rsidTr="00B47296">
        <w:trPr>
          <w:trHeight w:val="601"/>
        </w:trPr>
        <w:tc>
          <w:tcPr>
            <w:tcW w:w="3440" w:type="dxa"/>
          </w:tcPr>
          <w:p w14:paraId="49E20292" w14:textId="77777777" w:rsidR="00937AF5" w:rsidRPr="00937AF5" w:rsidRDefault="00937AF5" w:rsidP="00056F4E">
            <w:pPr>
              <w:pStyle w:val="Tabletext"/>
            </w:pPr>
            <w:r w:rsidRPr="00937AF5">
              <w:t>Commonwealth grants and associated expenditure/capital</w:t>
            </w:r>
          </w:p>
        </w:tc>
        <w:tc>
          <w:tcPr>
            <w:tcW w:w="4697" w:type="dxa"/>
          </w:tcPr>
          <w:p w14:paraId="7E8974E0" w14:textId="77777777" w:rsidR="00937AF5" w:rsidRPr="00937AF5" w:rsidRDefault="00937AF5" w:rsidP="00056F4E">
            <w:pPr>
              <w:pStyle w:val="Tabletext"/>
            </w:pPr>
            <w:r w:rsidRPr="00937AF5">
              <w:t>These adjustments will be reviewed on a case-by-case basis.</w:t>
            </w:r>
          </w:p>
        </w:tc>
      </w:tr>
      <w:tr w:rsidR="00937AF5" w:rsidRPr="00937AF5" w14:paraId="3DC2F50B" w14:textId="77777777" w:rsidTr="00B47296">
        <w:trPr>
          <w:cnfStyle w:val="000000010000" w:firstRow="0" w:lastRow="0" w:firstColumn="0" w:lastColumn="0" w:oddVBand="0" w:evenVBand="0" w:oddHBand="0" w:evenHBand="1" w:firstRowFirstColumn="0" w:firstRowLastColumn="0" w:lastRowFirstColumn="0" w:lastRowLastColumn="0"/>
          <w:trHeight w:val="658"/>
        </w:trPr>
        <w:tc>
          <w:tcPr>
            <w:tcW w:w="3440" w:type="dxa"/>
          </w:tcPr>
          <w:p w14:paraId="43EA6EAF" w14:textId="77777777" w:rsidR="00937AF5" w:rsidRPr="00937AF5" w:rsidRDefault="00937AF5" w:rsidP="00056F4E">
            <w:pPr>
              <w:pStyle w:val="Tabletext"/>
            </w:pPr>
            <w:r w:rsidRPr="00937AF5">
              <w:t>Indexation for any fixed price items (e.g. contracts)</w:t>
            </w:r>
          </w:p>
        </w:tc>
        <w:tc>
          <w:tcPr>
            <w:tcW w:w="4697" w:type="dxa"/>
          </w:tcPr>
          <w:p w14:paraId="13A50BD0" w14:textId="77777777" w:rsidR="00937AF5" w:rsidRPr="00937AF5" w:rsidRDefault="00937AF5" w:rsidP="00056F4E">
            <w:pPr>
              <w:pStyle w:val="Tabletext"/>
            </w:pPr>
            <w:r w:rsidRPr="00937AF5">
              <w:t xml:space="preserve">Department should have a record of all fixed price items. DTF will check the reasonableness of indexation applied.  </w:t>
            </w:r>
          </w:p>
        </w:tc>
      </w:tr>
      <w:tr w:rsidR="00937AF5" w:rsidRPr="00937AF5" w14:paraId="1CE3E125" w14:textId="77777777" w:rsidTr="00B47296">
        <w:trPr>
          <w:trHeight w:val="1263"/>
        </w:trPr>
        <w:tc>
          <w:tcPr>
            <w:tcW w:w="3440" w:type="dxa"/>
          </w:tcPr>
          <w:p w14:paraId="7B3F6F99" w14:textId="77777777" w:rsidR="00937AF5" w:rsidRPr="00937AF5" w:rsidRDefault="00937AF5" w:rsidP="00056F4E">
            <w:pPr>
              <w:pStyle w:val="Tabletext"/>
            </w:pPr>
            <w:r w:rsidRPr="00937AF5">
              <w:t>Employee entitlements</w:t>
            </w:r>
          </w:p>
        </w:tc>
        <w:tc>
          <w:tcPr>
            <w:tcW w:w="4697" w:type="dxa"/>
          </w:tcPr>
          <w:p w14:paraId="4BA94129" w14:textId="08D0B49C" w:rsidR="00937AF5" w:rsidRPr="00937AF5" w:rsidRDefault="00937AF5" w:rsidP="00056F4E">
            <w:pPr>
              <w:pStyle w:val="Tabletext"/>
            </w:pPr>
            <w:r w:rsidRPr="00937AF5">
              <w:t>Departments must check the entitlements on the balance sheet are reasonable, and advise DTF on the validity of the estimate.</w:t>
            </w:r>
          </w:p>
          <w:p w14:paraId="3735900C" w14:textId="77777777" w:rsidR="00937AF5" w:rsidRPr="00937AF5" w:rsidRDefault="00937AF5" w:rsidP="00056F4E">
            <w:pPr>
              <w:pStyle w:val="Tabletext"/>
            </w:pPr>
            <w:r w:rsidRPr="00937AF5">
              <w:t>Departments may need to review the number of pay periods for estimate year to determine if a 27th pay is applicable.</w:t>
            </w:r>
          </w:p>
        </w:tc>
      </w:tr>
      <w:tr w:rsidR="00937AF5" w:rsidRPr="00937AF5" w14:paraId="303DD99F" w14:textId="77777777" w:rsidTr="00B47296">
        <w:trPr>
          <w:cnfStyle w:val="000000010000" w:firstRow="0" w:lastRow="0" w:firstColumn="0" w:lastColumn="0" w:oddVBand="0" w:evenVBand="0" w:oddHBand="0" w:evenHBand="1" w:firstRowFirstColumn="0" w:firstRowLastColumn="0" w:lastRowFirstColumn="0" w:lastRowLastColumn="0"/>
          <w:trHeight w:val="700"/>
        </w:trPr>
        <w:tc>
          <w:tcPr>
            <w:tcW w:w="3440" w:type="dxa"/>
          </w:tcPr>
          <w:p w14:paraId="6D41188A" w14:textId="77777777" w:rsidR="00937AF5" w:rsidRPr="00937AF5" w:rsidRDefault="00937AF5" w:rsidP="00056F4E">
            <w:pPr>
              <w:pStyle w:val="Tabletext"/>
            </w:pPr>
            <w:r w:rsidRPr="00937AF5">
              <w:t>Any movements in current and non-current items</w:t>
            </w:r>
          </w:p>
        </w:tc>
        <w:tc>
          <w:tcPr>
            <w:tcW w:w="4697" w:type="dxa"/>
          </w:tcPr>
          <w:p w14:paraId="755746A3" w14:textId="49AD6C75" w:rsidR="00937AF5" w:rsidRPr="00937AF5" w:rsidRDefault="00937AF5" w:rsidP="00056F4E">
            <w:pPr>
              <w:pStyle w:val="Tabletext"/>
            </w:pPr>
            <w:r w:rsidRPr="00937AF5">
              <w:t>Departments are required to check for items that are split between current and non-current that appe</w:t>
            </w:r>
            <w:r w:rsidR="00324A80">
              <w:t>ar to fluctuate between years, e</w:t>
            </w:r>
            <w:r w:rsidRPr="00937AF5">
              <w:t xml:space="preserve">.g. </w:t>
            </w:r>
            <w:r w:rsidR="00A0321F">
              <w:t>f</w:t>
            </w:r>
            <w:r w:rsidRPr="00937AF5">
              <w:t>inance leases.</w:t>
            </w:r>
          </w:p>
        </w:tc>
      </w:tr>
      <w:tr w:rsidR="00937AF5" w:rsidRPr="00937AF5" w14:paraId="171E01B8" w14:textId="77777777" w:rsidTr="00B47296">
        <w:tc>
          <w:tcPr>
            <w:tcW w:w="3440" w:type="dxa"/>
          </w:tcPr>
          <w:p w14:paraId="4FD26CB9" w14:textId="77777777" w:rsidR="00937AF5" w:rsidRPr="00937AF5" w:rsidRDefault="00937AF5" w:rsidP="00056F4E">
            <w:pPr>
              <w:pStyle w:val="Tabletext"/>
            </w:pPr>
            <w:r w:rsidRPr="00937AF5">
              <w:t>Any revaluations to balance sheet</w:t>
            </w:r>
          </w:p>
        </w:tc>
        <w:tc>
          <w:tcPr>
            <w:tcW w:w="4697" w:type="dxa"/>
          </w:tcPr>
          <w:p w14:paraId="56A1C561" w14:textId="77777777" w:rsidR="00937AF5" w:rsidRPr="00937AF5" w:rsidRDefault="00937AF5" w:rsidP="00056F4E">
            <w:pPr>
              <w:pStyle w:val="Tabletext"/>
            </w:pPr>
            <w:r w:rsidRPr="00937AF5">
              <w:t>Refer to FRD 103E which outlines the asset revaluation schedule for departments.</w:t>
            </w:r>
          </w:p>
        </w:tc>
      </w:tr>
      <w:tr w:rsidR="00937AF5" w:rsidRPr="00937AF5" w14:paraId="252FA4F9" w14:textId="77777777" w:rsidTr="00B47296">
        <w:trPr>
          <w:cnfStyle w:val="000000010000" w:firstRow="0" w:lastRow="0" w:firstColumn="0" w:lastColumn="0" w:oddVBand="0" w:evenVBand="0" w:oddHBand="0" w:evenHBand="1" w:firstRowFirstColumn="0" w:firstRowLastColumn="0" w:lastRowFirstColumn="0" w:lastRowLastColumn="0"/>
          <w:trHeight w:val="219"/>
        </w:trPr>
        <w:tc>
          <w:tcPr>
            <w:tcW w:w="3440" w:type="dxa"/>
          </w:tcPr>
          <w:p w14:paraId="75349D66" w14:textId="77777777" w:rsidR="00937AF5" w:rsidRPr="00937AF5" w:rsidRDefault="00937AF5" w:rsidP="00056F4E">
            <w:pPr>
              <w:pStyle w:val="Tabletext"/>
            </w:pPr>
            <w:r w:rsidRPr="00937AF5">
              <w:t>Any asset purchases or sales</w:t>
            </w:r>
          </w:p>
        </w:tc>
        <w:tc>
          <w:tcPr>
            <w:tcW w:w="4697" w:type="dxa"/>
          </w:tcPr>
          <w:p w14:paraId="7E873CAD" w14:textId="77777777" w:rsidR="00937AF5" w:rsidRPr="00937AF5" w:rsidRDefault="00937AF5" w:rsidP="00056F4E">
            <w:pPr>
              <w:pStyle w:val="Tabletext"/>
            </w:pPr>
          </w:p>
        </w:tc>
      </w:tr>
      <w:tr w:rsidR="00937AF5" w:rsidRPr="00937AF5" w14:paraId="74C77467" w14:textId="77777777" w:rsidTr="00B47296">
        <w:tc>
          <w:tcPr>
            <w:tcW w:w="3440" w:type="dxa"/>
          </w:tcPr>
          <w:p w14:paraId="2FD89C21" w14:textId="77777777" w:rsidR="00937AF5" w:rsidRPr="00937AF5" w:rsidRDefault="00937AF5" w:rsidP="00056F4E">
            <w:pPr>
              <w:pStyle w:val="Tabletext"/>
            </w:pPr>
            <w:r w:rsidRPr="00937AF5">
              <w:t>Trust fund cash balances and associated revenue and expenses</w:t>
            </w:r>
          </w:p>
        </w:tc>
        <w:tc>
          <w:tcPr>
            <w:tcW w:w="4697" w:type="dxa"/>
          </w:tcPr>
          <w:p w14:paraId="23EA7641" w14:textId="1D26AFA7" w:rsidR="00937AF5" w:rsidRPr="00937AF5" w:rsidRDefault="00937AF5" w:rsidP="00056F4E">
            <w:pPr>
              <w:pStyle w:val="Tabletext"/>
            </w:pPr>
            <w:r w:rsidRPr="00937AF5">
              <w:t>Departments should ensure any movements in cash balances align with movements in interest revenue and expense accounts.</w:t>
            </w:r>
          </w:p>
        </w:tc>
      </w:tr>
      <w:tr w:rsidR="00937AF5" w:rsidRPr="00937AF5" w14:paraId="0244C408" w14:textId="77777777" w:rsidTr="00B47296">
        <w:trPr>
          <w:cnfStyle w:val="000000010000" w:firstRow="0" w:lastRow="0" w:firstColumn="0" w:lastColumn="0" w:oddVBand="0" w:evenVBand="0" w:oddHBand="0" w:evenHBand="1" w:firstRowFirstColumn="0" w:firstRowLastColumn="0" w:lastRowFirstColumn="0" w:lastRowLastColumn="0"/>
          <w:trHeight w:val="688"/>
        </w:trPr>
        <w:tc>
          <w:tcPr>
            <w:tcW w:w="3440" w:type="dxa"/>
          </w:tcPr>
          <w:p w14:paraId="22C976A0" w14:textId="77777777" w:rsidR="00937AF5" w:rsidRPr="00937AF5" w:rsidRDefault="00937AF5" w:rsidP="00056F4E">
            <w:pPr>
              <w:pStyle w:val="Tabletext"/>
            </w:pPr>
            <w:r w:rsidRPr="00937AF5">
              <w:t>Reallocation of DFM/GED balance from Indexation Adjustment Account (86999) to the appropriate expense accounts.</w:t>
            </w:r>
          </w:p>
        </w:tc>
        <w:tc>
          <w:tcPr>
            <w:tcW w:w="4697" w:type="dxa"/>
          </w:tcPr>
          <w:p w14:paraId="25D89E7C" w14:textId="77777777" w:rsidR="00937AF5" w:rsidRPr="00937AF5" w:rsidRDefault="00937AF5" w:rsidP="00056F4E">
            <w:pPr>
              <w:pStyle w:val="Tabletext"/>
            </w:pPr>
            <w:r w:rsidRPr="00937AF5">
              <w:t>Once adjustments have been made, the account should be zero.</w:t>
            </w:r>
          </w:p>
        </w:tc>
      </w:tr>
      <w:tr w:rsidR="00937AF5" w:rsidRPr="00937AF5" w14:paraId="5CDD556A" w14:textId="77777777" w:rsidTr="00B47296">
        <w:trPr>
          <w:trHeight w:val="283"/>
        </w:trPr>
        <w:tc>
          <w:tcPr>
            <w:tcW w:w="3440" w:type="dxa"/>
          </w:tcPr>
          <w:p w14:paraId="2321173D" w14:textId="77777777" w:rsidR="00937AF5" w:rsidRPr="00937AF5" w:rsidRDefault="00937AF5" w:rsidP="00056F4E">
            <w:pPr>
              <w:pStyle w:val="Tabletext"/>
            </w:pPr>
            <w:r w:rsidRPr="00937AF5">
              <w:t>Any (other) items from the Long-term Commitments database</w:t>
            </w:r>
          </w:p>
        </w:tc>
        <w:tc>
          <w:tcPr>
            <w:tcW w:w="4697" w:type="dxa"/>
          </w:tcPr>
          <w:p w14:paraId="478538B5" w14:textId="77777777" w:rsidR="00937AF5" w:rsidRPr="00937AF5" w:rsidRDefault="00937AF5" w:rsidP="00056F4E">
            <w:pPr>
              <w:pStyle w:val="Tabletext"/>
            </w:pPr>
          </w:p>
        </w:tc>
      </w:tr>
    </w:tbl>
    <w:p w14:paraId="32229F4C" w14:textId="77777777" w:rsidR="00937AF5" w:rsidRPr="00937AF5" w:rsidRDefault="00937AF5" w:rsidP="00937AF5">
      <w:pPr>
        <w:spacing w:before="20" w:after="20" w:line="240" w:lineRule="auto"/>
        <w:ind w:left="792"/>
        <w:rPr>
          <w:sz w:val="17"/>
          <w:szCs w:val="17"/>
        </w:rPr>
      </w:pPr>
    </w:p>
    <w:p w14:paraId="13443A66" w14:textId="77777777" w:rsidR="00857677" w:rsidRDefault="00857677">
      <w:pPr>
        <w:spacing w:before="0" w:after="200"/>
        <w:rPr>
          <w:rFonts w:asciiTheme="majorHAnsi" w:eastAsiaTheme="majorEastAsia" w:hAnsiTheme="majorHAnsi" w:cstheme="majorBidi"/>
          <w:b/>
          <w:bCs/>
          <w:color w:val="201547"/>
          <w:spacing w:val="-1"/>
          <w:sz w:val="36"/>
          <w:szCs w:val="28"/>
        </w:rPr>
      </w:pPr>
      <w:r>
        <w:br w:type="page"/>
      </w:r>
    </w:p>
    <w:p w14:paraId="390DF414" w14:textId="31292A30" w:rsidR="005476DA" w:rsidRDefault="005476DA" w:rsidP="00C1154D">
      <w:pPr>
        <w:pStyle w:val="Heading1"/>
      </w:pPr>
      <w:bookmarkStart w:id="534" w:name="_Toc476658161"/>
      <w:r>
        <w:lastRenderedPageBreak/>
        <w:t>Attachments</w:t>
      </w:r>
      <w:bookmarkEnd w:id="532"/>
      <w:bookmarkEnd w:id="534"/>
    </w:p>
    <w:p w14:paraId="67596B0B" w14:textId="77777777" w:rsidR="005476DA" w:rsidRDefault="005476DA" w:rsidP="00C1154D">
      <w:pPr>
        <w:pStyle w:val="Heading2"/>
      </w:pPr>
      <w:bookmarkStart w:id="535" w:name="_Toc445459780"/>
      <w:bookmarkStart w:id="536" w:name="_Toc476658162"/>
      <w:r>
        <w:t>Attachment 1: SAU dissection template</w:t>
      </w:r>
      <w:bookmarkEnd w:id="535"/>
      <w:bookmarkEnd w:id="536"/>
    </w:p>
    <w:p w14:paraId="6C6C85A5" w14:textId="2CCEFE44" w:rsidR="005476DA" w:rsidRDefault="005476DA" w:rsidP="00C1154D">
      <w:pPr>
        <w:rPr>
          <w:lang w:eastAsia="en-US"/>
        </w:rPr>
      </w:pPr>
      <w:r>
        <w:rPr>
          <w:lang w:eastAsia="en-US"/>
        </w:rPr>
        <w:t xml:space="preserve">The </w:t>
      </w:r>
      <w:r w:rsidR="00A0321F">
        <w:rPr>
          <w:lang w:eastAsia="en-US"/>
        </w:rPr>
        <w:t>State Administration Unit (</w:t>
      </w:r>
      <w:r>
        <w:rPr>
          <w:lang w:eastAsia="en-US"/>
        </w:rPr>
        <w:t>SAU</w:t>
      </w:r>
      <w:r w:rsidR="00A0321F">
        <w:rPr>
          <w:lang w:eastAsia="en-US"/>
        </w:rPr>
        <w:t>)</w:t>
      </w:r>
      <w:r>
        <w:rPr>
          <w:lang w:eastAsia="en-US"/>
        </w:rPr>
        <w:t xml:space="preserve"> dissection is required to be completed on the spreadsheet template provided below.</w:t>
      </w:r>
    </w:p>
    <w:p w14:paraId="1A50066D" w14:textId="77777777" w:rsidR="005476DA" w:rsidRDefault="005476DA" w:rsidP="00C1154D">
      <w:pPr>
        <w:rPr>
          <w:lang w:eastAsia="en-US"/>
        </w:rPr>
      </w:pPr>
      <w:r>
        <w:rPr>
          <w:lang w:eastAsia="en-US"/>
        </w:rPr>
        <w:t>The template consists of five tabs:</w:t>
      </w:r>
    </w:p>
    <w:p w14:paraId="0B134444" w14:textId="77777777" w:rsidR="005476DA" w:rsidRDefault="005476DA" w:rsidP="00F70D60">
      <w:pPr>
        <w:pStyle w:val="Bullet1"/>
        <w:rPr>
          <w:lang w:eastAsia="en-US"/>
        </w:rPr>
      </w:pPr>
      <w:r>
        <w:rPr>
          <w:lang w:eastAsia="en-US"/>
        </w:rPr>
        <w:t>Statement C1 – Dissection of Departmental SAU inter-entity balances within</w:t>
      </w:r>
      <w:r w:rsidR="00F70D60">
        <w:rPr>
          <w:lang w:eastAsia="en-US"/>
        </w:rPr>
        <w:t xml:space="preserve"> the</w:t>
      </w:r>
      <w:r>
        <w:rPr>
          <w:lang w:eastAsia="en-US"/>
        </w:rPr>
        <w:t xml:space="preserve"> Consolidated Fund (controlled entities);</w:t>
      </w:r>
    </w:p>
    <w:p w14:paraId="7D2E8ECF" w14:textId="77777777" w:rsidR="005476DA" w:rsidRDefault="005476DA" w:rsidP="00F70D60">
      <w:pPr>
        <w:pStyle w:val="Bullet1"/>
        <w:rPr>
          <w:lang w:eastAsia="en-US"/>
        </w:rPr>
      </w:pPr>
      <w:r>
        <w:rPr>
          <w:lang w:eastAsia="en-US"/>
        </w:rPr>
        <w:t>Statement C2 – Reconciliation of Controlled SAU to appropriation;</w:t>
      </w:r>
    </w:p>
    <w:p w14:paraId="7E299E8C" w14:textId="77777777" w:rsidR="005476DA" w:rsidRDefault="005476DA" w:rsidP="00F70D60">
      <w:pPr>
        <w:pStyle w:val="Bullet1"/>
        <w:rPr>
          <w:lang w:eastAsia="en-US"/>
        </w:rPr>
      </w:pPr>
      <w:r>
        <w:rPr>
          <w:lang w:eastAsia="en-US"/>
        </w:rPr>
        <w:t>Statement C3 – Reconciliation to Departmental operating statement;</w:t>
      </w:r>
    </w:p>
    <w:p w14:paraId="1DB44ABC" w14:textId="77777777" w:rsidR="005476DA" w:rsidRDefault="005476DA" w:rsidP="00F70D60">
      <w:pPr>
        <w:pStyle w:val="Bullet1"/>
        <w:rPr>
          <w:lang w:eastAsia="en-US"/>
        </w:rPr>
      </w:pPr>
      <w:r>
        <w:rPr>
          <w:lang w:eastAsia="en-US"/>
        </w:rPr>
        <w:t>Statement C4</w:t>
      </w:r>
      <w:r w:rsidR="000E2696">
        <w:rPr>
          <w:lang w:eastAsia="en-US"/>
        </w:rPr>
        <w:t xml:space="preserve"> – </w:t>
      </w:r>
      <w:r>
        <w:rPr>
          <w:lang w:eastAsia="en-US"/>
        </w:rPr>
        <w:t>Reconciliation to Departmental financial statements; and</w:t>
      </w:r>
    </w:p>
    <w:p w14:paraId="28A3DB1A" w14:textId="77777777" w:rsidR="005476DA" w:rsidRDefault="005476DA" w:rsidP="00F70D60">
      <w:pPr>
        <w:pStyle w:val="Bullet1"/>
        <w:rPr>
          <w:lang w:eastAsia="en-US"/>
        </w:rPr>
      </w:pPr>
      <w:r>
        <w:rPr>
          <w:lang w:eastAsia="en-US"/>
        </w:rPr>
        <w:t xml:space="preserve">Statement A1 – </w:t>
      </w:r>
      <w:r w:rsidRPr="00D23FB6">
        <w:rPr>
          <w:lang w:eastAsia="en-US"/>
        </w:rPr>
        <w:t xml:space="preserve">Reconciliation of </w:t>
      </w:r>
      <w:r>
        <w:rPr>
          <w:lang w:eastAsia="en-US"/>
        </w:rPr>
        <w:t xml:space="preserve">Administered </w:t>
      </w:r>
      <w:r w:rsidRPr="00D23FB6">
        <w:rPr>
          <w:lang w:eastAsia="en-US"/>
        </w:rPr>
        <w:t>SAU to appropriation</w:t>
      </w:r>
      <w:r>
        <w:rPr>
          <w:lang w:eastAsia="en-US"/>
        </w:rPr>
        <w:t>.</w:t>
      </w:r>
    </w:p>
    <w:p w14:paraId="31192EE4" w14:textId="58E3AC91" w:rsidR="005476DA" w:rsidRDefault="006E22B2" w:rsidP="00C1154D">
      <w:pPr>
        <w:rPr>
          <w:lang w:eastAsia="en-US"/>
        </w:rPr>
      </w:pPr>
      <w:r>
        <w:rPr>
          <w:lang w:eastAsia="en-US"/>
        </w:rPr>
        <w:object w:dxaOrig="1531" w:dyaOrig="991" w14:anchorId="61035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32" o:title=""/>
          </v:shape>
          <o:OLEObject Type="Embed" ProgID="Excel.Sheet.8" ShapeID="_x0000_i1025" DrawAspect="Icon" ObjectID="_1562485959" r:id="rId33"/>
        </w:object>
      </w:r>
    </w:p>
    <w:p w14:paraId="2E28AE61" w14:textId="77777777" w:rsidR="00F70D60" w:rsidRDefault="00F70D60" w:rsidP="00F70D60">
      <w:pPr>
        <w:rPr>
          <w:lang w:eastAsia="en-US"/>
        </w:rPr>
      </w:pPr>
      <w:r>
        <w:rPr>
          <w:lang w:eastAsia="en-US"/>
        </w:rPr>
        <w:t>Please also note the following about the SAU dissection:</w:t>
      </w:r>
    </w:p>
    <w:p w14:paraId="69B69900" w14:textId="193F64B7" w:rsidR="00F70D60" w:rsidRDefault="00F70D60" w:rsidP="00F70D60">
      <w:pPr>
        <w:pStyle w:val="Bullet1"/>
        <w:rPr>
          <w:lang w:eastAsia="en-US"/>
        </w:rPr>
      </w:pPr>
      <w:r>
        <w:rPr>
          <w:lang w:eastAsia="en-US"/>
        </w:rPr>
        <w:t xml:space="preserve">Only the controlled entities within a Department require </w:t>
      </w:r>
      <w:r w:rsidR="006451B7">
        <w:rPr>
          <w:lang w:eastAsia="en-US"/>
        </w:rPr>
        <w:t xml:space="preserve">both a </w:t>
      </w:r>
      <w:r>
        <w:rPr>
          <w:lang w:eastAsia="en-US"/>
        </w:rPr>
        <w:t xml:space="preserve">dissection (refer </w:t>
      </w:r>
      <w:r w:rsidRPr="00F70D60">
        <w:rPr>
          <w:i/>
          <w:lang w:eastAsia="en-US"/>
        </w:rPr>
        <w:t>Statement C1</w:t>
      </w:r>
      <w:r>
        <w:rPr>
          <w:lang w:eastAsia="en-US"/>
        </w:rPr>
        <w:t>)</w:t>
      </w:r>
      <w:r w:rsidR="006451B7">
        <w:rPr>
          <w:lang w:eastAsia="en-US"/>
        </w:rPr>
        <w:t xml:space="preserve"> and reconciliations</w:t>
      </w:r>
      <w:r>
        <w:rPr>
          <w:lang w:eastAsia="en-US"/>
        </w:rPr>
        <w:t xml:space="preserve">. However, a reconciliation of movements in the Administered Entity SAU </w:t>
      </w:r>
      <w:r w:rsidR="00A0321F">
        <w:rPr>
          <w:lang w:eastAsia="en-US"/>
        </w:rPr>
        <w:t>i</w:t>
      </w:r>
      <w:r>
        <w:rPr>
          <w:lang w:eastAsia="en-US"/>
        </w:rPr>
        <w:t xml:space="preserve">nter </w:t>
      </w:r>
      <w:r w:rsidR="00A0321F">
        <w:rPr>
          <w:lang w:eastAsia="en-US"/>
        </w:rPr>
        <w:t>e</w:t>
      </w:r>
      <w:r>
        <w:rPr>
          <w:lang w:eastAsia="en-US"/>
        </w:rPr>
        <w:t xml:space="preserve">ntity account to appropriations is also required (refer </w:t>
      </w:r>
      <w:r w:rsidRPr="00F70D60">
        <w:rPr>
          <w:i/>
          <w:lang w:eastAsia="en-US"/>
        </w:rPr>
        <w:t>Statement A1</w:t>
      </w:r>
      <w:r>
        <w:rPr>
          <w:lang w:eastAsia="en-US"/>
        </w:rPr>
        <w:t>);</w:t>
      </w:r>
    </w:p>
    <w:p w14:paraId="1D188612" w14:textId="77777777" w:rsidR="00F70D60" w:rsidRDefault="00F70D60" w:rsidP="00F70D60">
      <w:pPr>
        <w:pStyle w:val="Bullet1"/>
        <w:rPr>
          <w:lang w:eastAsia="en-US"/>
        </w:rPr>
      </w:pPr>
      <w:r>
        <w:rPr>
          <w:lang w:eastAsia="en-US"/>
        </w:rPr>
        <w:t xml:space="preserve">As Trust Fund transactions do not flow through the Consolidated Fund, these are not included in </w:t>
      </w:r>
      <w:r w:rsidRPr="00F70D60">
        <w:rPr>
          <w:i/>
          <w:lang w:eastAsia="en-US"/>
        </w:rPr>
        <w:t>Statement C1</w:t>
      </w:r>
      <w:r>
        <w:rPr>
          <w:lang w:eastAsia="en-US"/>
        </w:rPr>
        <w:t xml:space="preserve">, but </w:t>
      </w:r>
      <w:r w:rsidR="00E71059">
        <w:rPr>
          <w:lang w:eastAsia="en-US"/>
        </w:rPr>
        <w:t xml:space="preserve">are included in </w:t>
      </w:r>
      <w:r w:rsidRPr="00F70D60">
        <w:rPr>
          <w:i/>
          <w:lang w:eastAsia="en-US"/>
        </w:rPr>
        <w:t>Statement C4</w:t>
      </w:r>
      <w:r>
        <w:rPr>
          <w:lang w:eastAsia="en-US"/>
        </w:rPr>
        <w:t>;</w:t>
      </w:r>
      <w:r w:rsidR="00E71059">
        <w:rPr>
          <w:lang w:eastAsia="en-US"/>
        </w:rPr>
        <w:t xml:space="preserve"> and</w:t>
      </w:r>
    </w:p>
    <w:p w14:paraId="50DC17B0" w14:textId="30077229" w:rsidR="00F70D60" w:rsidRDefault="00784DC4" w:rsidP="00C1154D">
      <w:pPr>
        <w:pStyle w:val="Bullet1"/>
        <w:rPr>
          <w:lang w:eastAsia="en-US"/>
        </w:rPr>
      </w:pPr>
      <w:r>
        <w:rPr>
          <w:lang w:eastAsia="en-US"/>
        </w:rPr>
        <w:t>R</w:t>
      </w:r>
      <w:r w:rsidR="00F70D60">
        <w:rPr>
          <w:lang w:eastAsia="en-US"/>
        </w:rPr>
        <w:t xml:space="preserve">econciliations of Controlled and Administered Appropriations in the SAU are required – </w:t>
      </w:r>
      <w:r w:rsidR="00A0321F">
        <w:rPr>
          <w:lang w:eastAsia="en-US"/>
        </w:rPr>
        <w:t>refer to</w:t>
      </w:r>
      <w:r w:rsidR="00F70D60">
        <w:rPr>
          <w:lang w:eastAsia="en-US"/>
        </w:rPr>
        <w:t xml:space="preserve"> </w:t>
      </w:r>
      <w:r w:rsidR="00F70D60" w:rsidRPr="00E71059">
        <w:rPr>
          <w:i/>
          <w:lang w:eastAsia="en-US"/>
        </w:rPr>
        <w:t>Statement C2</w:t>
      </w:r>
      <w:r w:rsidR="00F70D60">
        <w:rPr>
          <w:lang w:eastAsia="en-US"/>
        </w:rPr>
        <w:t xml:space="preserve"> (controlled) and </w:t>
      </w:r>
      <w:r w:rsidR="00E71059" w:rsidRPr="00E71059">
        <w:rPr>
          <w:i/>
          <w:lang w:eastAsia="en-US"/>
        </w:rPr>
        <w:t xml:space="preserve">Statement </w:t>
      </w:r>
      <w:r w:rsidR="00F70D60" w:rsidRPr="00E71059">
        <w:rPr>
          <w:i/>
          <w:lang w:eastAsia="en-US"/>
        </w:rPr>
        <w:t>A1</w:t>
      </w:r>
      <w:r w:rsidR="00E71059">
        <w:rPr>
          <w:lang w:eastAsia="en-US"/>
        </w:rPr>
        <w:t xml:space="preserve"> (administered).</w:t>
      </w:r>
    </w:p>
    <w:p w14:paraId="268588CA" w14:textId="77777777" w:rsidR="00F70D60" w:rsidRPr="00862C5D" w:rsidRDefault="00F70D60" w:rsidP="00C1154D">
      <w:pPr>
        <w:rPr>
          <w:lang w:eastAsia="en-US"/>
        </w:rPr>
      </w:pPr>
    </w:p>
    <w:p w14:paraId="6BDD7CA8" w14:textId="77777777" w:rsidR="005476DA" w:rsidRDefault="005476DA" w:rsidP="005476DA">
      <w:pPr>
        <w:spacing w:before="0" w:after="200"/>
        <w:rPr>
          <w:color w:val="4D4D4D"/>
          <w:sz w:val="30"/>
          <w:lang w:eastAsia="en-US"/>
        </w:rPr>
      </w:pPr>
      <w:r>
        <w:br w:type="page"/>
      </w:r>
    </w:p>
    <w:p w14:paraId="2B04199E" w14:textId="77777777" w:rsidR="005476DA" w:rsidRDefault="005476DA" w:rsidP="00C1154D">
      <w:pPr>
        <w:pStyle w:val="Heading2"/>
      </w:pPr>
      <w:bookmarkStart w:id="537" w:name="_Toc445459781"/>
      <w:bookmarkStart w:id="538" w:name="_Toc476658163"/>
      <w:r>
        <w:lastRenderedPageBreak/>
        <w:t>Attachment 2: The history of the establishment of the State Administration Unit</w:t>
      </w:r>
      <w:bookmarkEnd w:id="537"/>
      <w:bookmarkEnd w:id="538"/>
    </w:p>
    <w:p w14:paraId="57577B1E" w14:textId="3748F897" w:rsidR="005476DA" w:rsidRPr="002104E7" w:rsidRDefault="005476DA" w:rsidP="00C1154D">
      <w:r>
        <w:t xml:space="preserve">One of the most significant </w:t>
      </w:r>
      <w:r w:rsidRPr="00275FDA">
        <w:t xml:space="preserve">financial </w:t>
      </w:r>
      <w:r>
        <w:t xml:space="preserve">management reforms in the </w:t>
      </w:r>
      <w:r w:rsidR="006451B7">
        <w:t xml:space="preserve">late </w:t>
      </w:r>
      <w:r>
        <w:t>1990s</w:t>
      </w:r>
      <w:r w:rsidRPr="00275FDA">
        <w:t xml:space="preserve"> </w:t>
      </w:r>
      <w:r>
        <w:t xml:space="preserve">was </w:t>
      </w:r>
      <w:r w:rsidRPr="002104E7">
        <w:t>the mo</w:t>
      </w:r>
      <w:r>
        <w:t>ve from cash to an accrual-</w:t>
      </w:r>
      <w:r w:rsidRPr="002104E7">
        <w:t xml:space="preserve">based appropriation budgeting and reporting regime. The Public Ledger Operating Statement </w:t>
      </w:r>
      <w:r>
        <w:t xml:space="preserve">began to </w:t>
      </w:r>
      <w:r w:rsidRPr="002104E7">
        <w:t>reflect revenues earned, regardless of whether cash has been received, and expenses incurred, but not necessarily paid (or payable) in cash.</w:t>
      </w:r>
    </w:p>
    <w:p w14:paraId="521B1AFE" w14:textId="78FA8426" w:rsidR="00DB7E60" w:rsidRDefault="005476DA" w:rsidP="00C1154D">
      <w:r>
        <w:t>Under these reforms</w:t>
      </w:r>
      <w:r w:rsidRPr="002104E7">
        <w:t xml:space="preserve">, the </w:t>
      </w:r>
      <w:r>
        <w:t xml:space="preserve">concept of the </w:t>
      </w:r>
      <w:r w:rsidR="006451B7" w:rsidRPr="006451B7">
        <w:t xml:space="preserve">State Administration Unit </w:t>
      </w:r>
      <w:r w:rsidR="006451B7">
        <w:t>(</w:t>
      </w:r>
      <w:r w:rsidRPr="002104E7">
        <w:t>SAU</w:t>
      </w:r>
      <w:r w:rsidR="006451B7">
        <w:t>)</w:t>
      </w:r>
      <w:r w:rsidRPr="002104E7">
        <w:t xml:space="preserve"> was established, and became operational on 1 July 1998. The SAU formalises arrangements between </w:t>
      </w:r>
      <w:r>
        <w:t>D</w:t>
      </w:r>
      <w:r w:rsidRPr="002104E7">
        <w:t xml:space="preserve">epartments and DTF as the ‘Corporate Office’ for the State of Victoria from an accounting and reporting perspective following the introduction of accrual output budgeting and management. </w:t>
      </w:r>
    </w:p>
    <w:p w14:paraId="74E76E18" w14:textId="77777777" w:rsidR="005476DA" w:rsidRDefault="005476DA" w:rsidP="00C1154D">
      <w:r w:rsidRPr="002104E7">
        <w:t xml:space="preserve">At any given time, the balance held in each </w:t>
      </w:r>
      <w:r>
        <w:t>D</w:t>
      </w:r>
      <w:r w:rsidRPr="002104E7">
        <w:t xml:space="preserve">epartment’s SAU inter entity account represents appropriated funds available to that </w:t>
      </w:r>
      <w:r>
        <w:t>D</w:t>
      </w:r>
      <w:r w:rsidRPr="002104E7">
        <w:t xml:space="preserve">epartment which have not been drawn. This can result in substantial financial assets being available to </w:t>
      </w:r>
      <w:r>
        <w:t>D</w:t>
      </w:r>
      <w:r w:rsidRPr="002104E7">
        <w:t>epartments, which represent the value of appropriations that have been applied but for which money has not been drawn from the Consolidated Fund.</w:t>
      </w:r>
    </w:p>
    <w:p w14:paraId="6D77772B" w14:textId="77777777" w:rsidR="005476DA" w:rsidRPr="0077517F" w:rsidRDefault="005476DA" w:rsidP="00C1154D">
      <w:pPr>
        <w:pStyle w:val="Heading3"/>
      </w:pPr>
      <w:r>
        <w:t xml:space="preserve">Purpose </w:t>
      </w:r>
      <w:r w:rsidRPr="0077517F">
        <w:t>of the SAU dissection</w:t>
      </w:r>
      <w:r>
        <w:t>:</w:t>
      </w:r>
    </w:p>
    <w:p w14:paraId="1B238E8E" w14:textId="77777777" w:rsidR="005476DA" w:rsidRDefault="005476DA" w:rsidP="00C1154D">
      <w:r>
        <w:t>For Victorian Government Departments, to:</w:t>
      </w:r>
    </w:p>
    <w:p w14:paraId="3E20A0A6" w14:textId="77777777" w:rsidR="005476DA" w:rsidRDefault="005476DA" w:rsidP="00C1154D">
      <w:pPr>
        <w:pStyle w:val="Bullet1"/>
      </w:pPr>
      <w:r>
        <w:t>manage the application of appropriation funding provided;</w:t>
      </w:r>
    </w:p>
    <w:p w14:paraId="04BFC997" w14:textId="28B352C8" w:rsidR="005476DA" w:rsidRDefault="005476DA" w:rsidP="00C1154D">
      <w:pPr>
        <w:pStyle w:val="Bullet1"/>
      </w:pPr>
      <w:r>
        <w:t>ensure legislative and administrative requirements are met;</w:t>
      </w:r>
    </w:p>
    <w:p w14:paraId="4CA54BB2" w14:textId="77777777" w:rsidR="005476DA" w:rsidRDefault="005476DA" w:rsidP="00C1154D">
      <w:pPr>
        <w:pStyle w:val="Bullet1"/>
      </w:pPr>
      <w:r>
        <w:t xml:space="preserve">identify and verify unspent depreciation equivalent to be applied against asset initiatives during the current year, and in the out years, contained in the forward estimates; </w:t>
      </w:r>
    </w:p>
    <w:p w14:paraId="7C55BB16" w14:textId="43264E9F" w:rsidR="005476DA" w:rsidRDefault="005476DA" w:rsidP="00C1154D">
      <w:pPr>
        <w:pStyle w:val="Bullet1"/>
      </w:pPr>
      <w:r>
        <w:t xml:space="preserve">identify unspent levels of </w:t>
      </w:r>
      <w:r w:rsidR="00A0321F">
        <w:t>long service leave (</w:t>
      </w:r>
      <w:r>
        <w:t>LSL</w:t>
      </w:r>
      <w:r w:rsidR="00A0321F">
        <w:t>)</w:t>
      </w:r>
      <w:r>
        <w:t xml:space="preserve"> equivalent to be applied to fund future draw downs on the provision for LSL;</w:t>
      </w:r>
    </w:p>
    <w:p w14:paraId="7FF72982" w14:textId="77777777" w:rsidR="005476DA" w:rsidRDefault="005476DA" w:rsidP="00C1154D">
      <w:pPr>
        <w:pStyle w:val="Bullet1"/>
      </w:pPr>
      <w:r>
        <w:t>identify and verify the surplus on the provision of outputs, which will be available for application against future initiatives, following the Treasurer’s approval, and</w:t>
      </w:r>
    </w:p>
    <w:p w14:paraId="48005D6E" w14:textId="77777777" w:rsidR="005476DA" w:rsidRDefault="005476DA" w:rsidP="00C1154D">
      <w:pPr>
        <w:pStyle w:val="Bullet1"/>
      </w:pPr>
      <w:r>
        <w:t>identify Departmental obligations to pay employee entitlements, creditors and other commitments since 1 July 1998</w:t>
      </w:r>
      <w:r w:rsidR="00880EB7">
        <w:t>,</w:t>
      </w:r>
      <w:r>
        <w:t xml:space="preserve"> for which output appropriation has been certified but not drawn.</w:t>
      </w:r>
    </w:p>
    <w:p w14:paraId="510D32E1" w14:textId="2529862E" w:rsidR="005476DA" w:rsidRDefault="005476DA" w:rsidP="00C1154D">
      <w:r>
        <w:t>For DTF to</w:t>
      </w:r>
      <w:r w:rsidR="00700D0D">
        <w:t xml:space="preserve"> verify</w:t>
      </w:r>
      <w:r w:rsidR="00D03A1C">
        <w:t xml:space="preserve"> that</w:t>
      </w:r>
      <w:r>
        <w:t>:</w:t>
      </w:r>
    </w:p>
    <w:p w14:paraId="0265CD7D" w14:textId="58B16285" w:rsidR="005476DA" w:rsidRDefault="005476DA" w:rsidP="00C1154D">
      <w:pPr>
        <w:pStyle w:val="Bullet1"/>
      </w:pPr>
      <w:r>
        <w:t>legislative and administrative requirements have been met;</w:t>
      </w:r>
    </w:p>
    <w:p w14:paraId="1688EF88" w14:textId="095A0C13" w:rsidR="005476DA" w:rsidRDefault="005476DA" w:rsidP="00C1154D">
      <w:pPr>
        <w:pStyle w:val="Bullet1"/>
      </w:pPr>
      <w:r>
        <w:t>the unspent component of the depreciation equivalent is available for future application towards asset investment/replacement when formulating the forward estimates, and</w:t>
      </w:r>
    </w:p>
    <w:p w14:paraId="1E59F3F3" w14:textId="138D0C9C" w:rsidR="005476DA" w:rsidRDefault="005476DA" w:rsidP="00C1154D">
      <w:pPr>
        <w:pStyle w:val="Bullet1"/>
      </w:pPr>
      <w:r>
        <w:t>the surplus on the provision of outputs is available for application against initiatives to be approved by the Treasurer.</w:t>
      </w:r>
    </w:p>
    <w:p w14:paraId="7A6D7161" w14:textId="77777777" w:rsidR="005476DA" w:rsidRDefault="005476DA" w:rsidP="005476DA">
      <w:pPr>
        <w:sectPr w:rsidR="005476DA" w:rsidSect="00857677">
          <w:headerReference w:type="even" r:id="rId34"/>
          <w:footerReference w:type="even" r:id="rId35"/>
          <w:footerReference w:type="default" r:id="rId36"/>
          <w:headerReference w:type="first" r:id="rId37"/>
          <w:pgSz w:w="11906" w:h="16838" w:code="9"/>
          <w:pgMar w:top="1890" w:right="1376" w:bottom="1080" w:left="1440" w:header="706" w:footer="461" w:gutter="0"/>
          <w:pgNumType w:start="1"/>
          <w:cols w:space="708"/>
          <w:docGrid w:linePitch="360"/>
        </w:sectPr>
      </w:pPr>
    </w:p>
    <w:p w14:paraId="53A38A87" w14:textId="0B59BE90" w:rsidR="005476DA" w:rsidRDefault="005476DA" w:rsidP="00C1154D">
      <w:pPr>
        <w:pStyle w:val="Heading2"/>
      </w:pPr>
      <w:bookmarkStart w:id="539" w:name="_Toc445459782"/>
      <w:bookmarkStart w:id="540" w:name="_Toc476658164"/>
      <w:r>
        <w:lastRenderedPageBreak/>
        <w:t xml:space="preserve">Attachment 3: </w:t>
      </w:r>
      <w:r w:rsidRPr="00B214D2">
        <w:t xml:space="preserve">Depreciation </w:t>
      </w:r>
      <w:r w:rsidR="00C1154D" w:rsidRPr="00B214D2">
        <w:t>equivalent</w:t>
      </w:r>
      <w:r w:rsidR="00C1154D">
        <w:t xml:space="preserve"> </w:t>
      </w:r>
      <w:r>
        <w:t xml:space="preserve">– </w:t>
      </w:r>
      <w:r w:rsidRPr="00B214D2">
        <w:t xml:space="preserve">Asset </w:t>
      </w:r>
      <w:r>
        <w:t>f</w:t>
      </w:r>
      <w:r w:rsidRPr="00B214D2">
        <w:t xml:space="preserve">unding sourced from </w:t>
      </w:r>
      <w:r>
        <w:t>p</w:t>
      </w:r>
      <w:r w:rsidRPr="00B214D2">
        <w:t xml:space="preserve">rovision of </w:t>
      </w:r>
      <w:r>
        <w:t>o</w:t>
      </w:r>
      <w:r w:rsidRPr="00B214D2">
        <w:t xml:space="preserve">utputs </w:t>
      </w:r>
      <w:r>
        <w:t>a</w:t>
      </w:r>
      <w:r w:rsidRPr="00B214D2">
        <w:t>ppropriation</w:t>
      </w:r>
      <w:r>
        <w:t xml:space="preserve"> diagram</w:t>
      </w:r>
      <w:bookmarkEnd w:id="539"/>
      <w:bookmarkEnd w:id="540"/>
    </w:p>
    <w:p w14:paraId="44063349" w14:textId="77777777" w:rsidR="005476DA" w:rsidRDefault="005476DA" w:rsidP="005476DA">
      <w:r w:rsidRPr="00862C5D">
        <w:rPr>
          <w:noProof/>
        </w:rPr>
        <w:drawing>
          <wp:inline distT="0" distB="0" distL="0" distR="0" wp14:anchorId="1C58247B" wp14:editId="7C7C4358">
            <wp:extent cx="8063230" cy="4566448"/>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8063230" cy="4566448"/>
                    </a:xfrm>
                    <a:prstGeom prst="rect">
                      <a:avLst/>
                    </a:prstGeom>
                  </pic:spPr>
                </pic:pic>
              </a:graphicData>
            </a:graphic>
          </wp:inline>
        </w:drawing>
      </w:r>
    </w:p>
    <w:p w14:paraId="3CEA53FB" w14:textId="77777777" w:rsidR="005476DA" w:rsidRDefault="005476DA" w:rsidP="005476DA"/>
    <w:p w14:paraId="04A4A392" w14:textId="77777777" w:rsidR="005476DA" w:rsidRDefault="005476DA" w:rsidP="005476DA">
      <w:pPr>
        <w:sectPr w:rsidR="005476DA" w:rsidSect="00A63ED1">
          <w:headerReference w:type="even" r:id="rId39"/>
          <w:headerReference w:type="default" r:id="rId40"/>
          <w:footerReference w:type="even" r:id="rId41"/>
          <w:footerReference w:type="default" r:id="rId42"/>
          <w:headerReference w:type="first" r:id="rId43"/>
          <w:pgSz w:w="16838" w:h="11906" w:orient="landscape" w:code="9"/>
          <w:pgMar w:top="1440" w:right="2160" w:bottom="1440" w:left="1980" w:header="706" w:footer="461" w:gutter="0"/>
          <w:cols w:space="708"/>
          <w:docGrid w:linePitch="360"/>
        </w:sectPr>
      </w:pPr>
    </w:p>
    <w:p w14:paraId="3B23D448" w14:textId="2812444A" w:rsidR="005476DA" w:rsidRDefault="005476DA" w:rsidP="00C1154D">
      <w:pPr>
        <w:pStyle w:val="Heading2"/>
      </w:pPr>
      <w:bookmarkStart w:id="541" w:name="_Toc445459783"/>
      <w:bookmarkStart w:id="542" w:name="_Toc476658165"/>
      <w:r>
        <w:t xml:space="preserve">Attachment 4: Pro-forma journal entries for </w:t>
      </w:r>
      <w:r w:rsidR="00700D0D">
        <w:t>l</w:t>
      </w:r>
      <w:r>
        <w:t xml:space="preserve">ong </w:t>
      </w:r>
      <w:r w:rsidR="00700D0D">
        <w:t>s</w:t>
      </w:r>
      <w:r>
        <w:t xml:space="preserve">ervice </w:t>
      </w:r>
      <w:r w:rsidR="00700D0D">
        <w:t>l</w:t>
      </w:r>
      <w:r>
        <w:t>eave (LSL) transactions</w:t>
      </w:r>
      <w:bookmarkEnd w:id="541"/>
      <w:bookmarkEnd w:id="542"/>
    </w:p>
    <w:p w14:paraId="6893A97E" w14:textId="5FD29DAD" w:rsidR="005476DA" w:rsidRPr="006448DC" w:rsidRDefault="005476DA" w:rsidP="001D07DE">
      <w:pPr>
        <w:pStyle w:val="Heading4"/>
      </w:pPr>
      <w:r>
        <w:t xml:space="preserve">1. </w:t>
      </w:r>
      <w:r w:rsidRPr="006448DC">
        <w:t xml:space="preserve">Accruing of </w:t>
      </w:r>
      <w:r w:rsidR="00700D0D">
        <w:t>long service leave</w:t>
      </w:r>
      <w:r w:rsidRPr="006448DC">
        <w:t xml:space="preserve"> by employees</w:t>
      </w:r>
    </w:p>
    <w:p w14:paraId="03DA30BA" w14:textId="4507D945" w:rsidR="005476DA" w:rsidRDefault="005476DA" w:rsidP="00EB7C38">
      <w:r>
        <w:t xml:space="preserve">The </w:t>
      </w:r>
      <w:r w:rsidRPr="00EB7C38">
        <w:t>provision</w:t>
      </w:r>
      <w:r>
        <w:t xml:space="preserve"> for long service </w:t>
      </w:r>
      <w:r w:rsidR="00700D0D">
        <w:t xml:space="preserve">leave (LSL) </w:t>
      </w:r>
      <w:r>
        <w:t>progressively increases as a result of accumulating LSL expense.</w:t>
      </w:r>
    </w:p>
    <w:p w14:paraId="648BFCE6" w14:textId="77777777" w:rsidR="005476DA" w:rsidRDefault="005476DA" w:rsidP="001D07DE">
      <w:pPr>
        <w:pStyle w:val="Normalhanging"/>
      </w:pPr>
      <w:r w:rsidRPr="003347E3">
        <w:rPr>
          <w:b/>
        </w:rPr>
        <w:t>Dr</w:t>
      </w:r>
      <w:r>
        <w:tab/>
        <w:t>Long service leave expense (other than revaluation of Present Value of LSL) – account 80500 (transaction flows)</w:t>
      </w:r>
    </w:p>
    <w:p w14:paraId="6971FFA2" w14:textId="77777777" w:rsidR="005476DA" w:rsidRDefault="005476DA" w:rsidP="001D07DE">
      <w:pPr>
        <w:pStyle w:val="Normalhanging"/>
      </w:pPr>
      <w:r w:rsidRPr="003347E3">
        <w:rPr>
          <w:b/>
        </w:rPr>
        <w:t>Dr</w:t>
      </w:r>
      <w:r>
        <w:tab/>
        <w:t>Long Service leave expense – gains</w:t>
      </w:r>
      <w:r w:rsidR="00E04894">
        <w:t xml:space="preserve"> </w:t>
      </w:r>
      <w:r>
        <w:t xml:space="preserve">(losses) on revaluation </w:t>
      </w:r>
      <w:r w:rsidR="00E04894">
        <w:t>a</w:t>
      </w:r>
      <w:r>
        <w:t>ccount 80550</w:t>
      </w:r>
    </w:p>
    <w:p w14:paraId="5568E243" w14:textId="77777777" w:rsidR="005476DA" w:rsidRDefault="005476DA" w:rsidP="001D07DE">
      <w:pPr>
        <w:pStyle w:val="Normalhanging"/>
      </w:pPr>
      <w:r>
        <w:t>(Annual appropriation authority codes must not be used with this account).</w:t>
      </w:r>
    </w:p>
    <w:p w14:paraId="33BCFA35" w14:textId="77777777" w:rsidR="005476DA" w:rsidRDefault="005476DA" w:rsidP="001D07DE">
      <w:pPr>
        <w:pStyle w:val="Normalhanging"/>
      </w:pPr>
      <w:r w:rsidRPr="003347E3">
        <w:rPr>
          <w:b/>
        </w:rPr>
        <w:t>Cr</w:t>
      </w:r>
      <w:r>
        <w:tab/>
        <w:t xml:space="preserve">Long service leave provision (Liability) </w:t>
      </w:r>
    </w:p>
    <w:p w14:paraId="73D7A33C" w14:textId="77777777" w:rsidR="005476DA" w:rsidRDefault="005476DA" w:rsidP="00EB7C38">
      <w:r>
        <w:t xml:space="preserve">Departments receive funding for the payment of LSL (Other than revaluation of Present Value of LSL – </w:t>
      </w:r>
      <w:r w:rsidR="00E04894">
        <w:t>a</w:t>
      </w:r>
      <w:r>
        <w:t>ccount 80550) as part of the revenue received for the delivery of outputs. This revenue is recorded in the form of a deposit in the SAU inter entity account.</w:t>
      </w:r>
      <w:r>
        <w:rPr>
          <w:rStyle w:val="FootnoteReference"/>
        </w:rPr>
        <w:footnoteReference w:id="28"/>
      </w:r>
    </w:p>
    <w:p w14:paraId="329E28C9" w14:textId="2DF7EB09" w:rsidR="005476DA" w:rsidRDefault="005476DA" w:rsidP="001D07DE">
      <w:pPr>
        <w:pStyle w:val="Normalhanging"/>
      </w:pPr>
      <w:r w:rsidRPr="003347E3">
        <w:rPr>
          <w:b/>
        </w:rPr>
        <w:t>Dr</w:t>
      </w:r>
      <w:r>
        <w:tab/>
        <w:t xml:space="preserve">SAU </w:t>
      </w:r>
      <w:r w:rsidR="00700D0D">
        <w:t>i</w:t>
      </w:r>
      <w:r>
        <w:t xml:space="preserve">nter entity </w:t>
      </w:r>
      <w:r w:rsidR="00E04894">
        <w:t>account</w:t>
      </w:r>
      <w:r w:rsidR="004335C5">
        <w:t xml:space="preserve"> </w:t>
      </w:r>
      <w:r>
        <w:t xml:space="preserve">LSL (Asset) </w:t>
      </w:r>
    </w:p>
    <w:p w14:paraId="788F87C0" w14:textId="77777777" w:rsidR="005476DA" w:rsidRDefault="005476DA" w:rsidP="001D07DE">
      <w:pPr>
        <w:pStyle w:val="Normalhanging"/>
      </w:pPr>
      <w:r w:rsidRPr="003347E3">
        <w:rPr>
          <w:b/>
        </w:rPr>
        <w:t>Cr</w:t>
      </w:r>
      <w:r>
        <w:tab/>
        <w:t xml:space="preserve">Revenue for outputs (Revenue) </w:t>
      </w:r>
    </w:p>
    <w:p w14:paraId="3557BDB2" w14:textId="7824240B" w:rsidR="005476DA" w:rsidRPr="0098488B" w:rsidRDefault="005476DA" w:rsidP="001D07DE">
      <w:pPr>
        <w:pStyle w:val="Heading4"/>
      </w:pPr>
      <w:r>
        <w:t xml:space="preserve">2. </w:t>
      </w:r>
      <w:r w:rsidRPr="0098488B">
        <w:t xml:space="preserve">Recognition of </w:t>
      </w:r>
      <w:r w:rsidR="00700D0D">
        <w:t>l</w:t>
      </w:r>
      <w:r w:rsidRPr="0098488B">
        <w:t xml:space="preserve">ong </w:t>
      </w:r>
      <w:r w:rsidR="00700D0D">
        <w:t>s</w:t>
      </w:r>
      <w:r w:rsidRPr="0098488B">
        <w:t xml:space="preserve">ervice </w:t>
      </w:r>
      <w:r w:rsidR="00700D0D">
        <w:t>l</w:t>
      </w:r>
      <w:r w:rsidRPr="0098488B">
        <w:t>eave resulting from previous employment outside the Victorian budget sector</w:t>
      </w:r>
    </w:p>
    <w:p w14:paraId="021533B4" w14:textId="75F697DD" w:rsidR="005476DA" w:rsidRDefault="005476DA" w:rsidP="00EB7C38">
      <w:r>
        <w:t xml:space="preserve">Employees in the </w:t>
      </w:r>
      <w:r w:rsidR="00700D0D">
        <w:t>Victorian Public Service (</w:t>
      </w:r>
      <w:r>
        <w:t>VPS</w:t>
      </w:r>
      <w:r w:rsidR="00700D0D">
        <w:t>)</w:t>
      </w:r>
      <w:r>
        <w:t xml:space="preserve"> may have a period of service with a previous employer that was outside the VPS but is still recognised for LSL purposes.</w:t>
      </w:r>
    </w:p>
    <w:p w14:paraId="026D324C" w14:textId="77777777" w:rsidR="005476DA" w:rsidRDefault="005476DA" w:rsidP="001D07DE">
      <w:pPr>
        <w:pStyle w:val="Normalhanging"/>
      </w:pPr>
      <w:r w:rsidRPr="003347E3">
        <w:rPr>
          <w:b/>
        </w:rPr>
        <w:t>Dr</w:t>
      </w:r>
      <w:r>
        <w:tab/>
        <w:t xml:space="preserve">Long service leave expense (Expense) </w:t>
      </w:r>
    </w:p>
    <w:p w14:paraId="322F400A" w14:textId="77777777" w:rsidR="005476DA" w:rsidRDefault="005476DA" w:rsidP="001D07DE">
      <w:pPr>
        <w:pStyle w:val="Normalhanging"/>
      </w:pPr>
      <w:r w:rsidRPr="003347E3">
        <w:rPr>
          <w:b/>
        </w:rPr>
        <w:t>Cr</w:t>
      </w:r>
      <w:r>
        <w:tab/>
        <w:t xml:space="preserve">Long service leave provision (Liability) </w:t>
      </w:r>
    </w:p>
    <w:p w14:paraId="59B89379" w14:textId="1D87BF13" w:rsidR="005476DA" w:rsidRPr="00EC7718" w:rsidRDefault="005476DA" w:rsidP="001D07DE">
      <w:pPr>
        <w:pStyle w:val="Heading4"/>
      </w:pPr>
      <w:r>
        <w:t xml:space="preserve">3. </w:t>
      </w:r>
      <w:r w:rsidRPr="00EC7718">
        <w:t>Pay out of leave</w:t>
      </w:r>
      <w:r w:rsidR="00700D0D">
        <w:t>:</w:t>
      </w:r>
      <w:r w:rsidRPr="00EC7718">
        <w:t xml:space="preserve"> </w:t>
      </w:r>
      <w:r w:rsidR="00700D0D">
        <w:t>e</w:t>
      </w:r>
      <w:r w:rsidRPr="00EC7718">
        <w:t>mployee resigns, retires or takes a payout in lieu of leave</w:t>
      </w:r>
    </w:p>
    <w:p w14:paraId="18FE64F9" w14:textId="7BB9EB54" w:rsidR="005476DA" w:rsidRDefault="00700D0D" w:rsidP="00EB7C38">
      <w:r>
        <w:t>U</w:t>
      </w:r>
      <w:r w:rsidR="005476DA">
        <w:t>pon resignation, retirement or by request</w:t>
      </w:r>
      <w:r>
        <w:t>, an employee</w:t>
      </w:r>
      <w:r w:rsidR="005476DA">
        <w:t xml:space="preserve"> receives a payment in lieu of LSL if he/she is recognised as having seven or more years of service and has not fully drawdown on his/her available LSL entitlement:</w:t>
      </w:r>
    </w:p>
    <w:p w14:paraId="72745A07" w14:textId="77777777" w:rsidR="005476DA" w:rsidRDefault="005476DA" w:rsidP="001D07DE">
      <w:pPr>
        <w:pStyle w:val="Normalhanging"/>
      </w:pPr>
      <w:r w:rsidRPr="003347E3">
        <w:rPr>
          <w:b/>
        </w:rPr>
        <w:t>Dr</w:t>
      </w:r>
      <w:r>
        <w:tab/>
        <w:t xml:space="preserve">Long service leave provision (Liability) </w:t>
      </w:r>
    </w:p>
    <w:p w14:paraId="74AEB9DF" w14:textId="77777777" w:rsidR="005476DA" w:rsidRDefault="005476DA" w:rsidP="001D07DE">
      <w:pPr>
        <w:pStyle w:val="Normalhanging"/>
      </w:pPr>
      <w:r w:rsidRPr="003347E3">
        <w:rPr>
          <w:b/>
        </w:rPr>
        <w:t>Cr</w:t>
      </w:r>
      <w:r>
        <w:tab/>
        <w:t xml:space="preserve">Cash at </w:t>
      </w:r>
      <w:r w:rsidR="00E04894">
        <w:t>b</w:t>
      </w:r>
      <w:r>
        <w:t xml:space="preserve">ank (Asset) </w:t>
      </w:r>
    </w:p>
    <w:p w14:paraId="6E1D9F9D" w14:textId="420A6117" w:rsidR="005476DA" w:rsidRDefault="005476DA" w:rsidP="00EB7C38">
      <w:r>
        <w:t>Cash at bank would be reimbursed from the SAU inter</w:t>
      </w:r>
      <w:r w:rsidR="00700D0D">
        <w:t>-</w:t>
      </w:r>
      <w:r>
        <w:t>entity account:</w:t>
      </w:r>
    </w:p>
    <w:p w14:paraId="018130C4" w14:textId="77777777" w:rsidR="005476DA" w:rsidRDefault="005476DA" w:rsidP="001D07DE">
      <w:pPr>
        <w:pStyle w:val="Normalhanging"/>
      </w:pPr>
      <w:r w:rsidRPr="003347E3">
        <w:rPr>
          <w:b/>
        </w:rPr>
        <w:t>Dr</w:t>
      </w:r>
      <w:r>
        <w:tab/>
        <w:t xml:space="preserve">Cash at </w:t>
      </w:r>
      <w:r w:rsidR="00E04894">
        <w:t>b</w:t>
      </w:r>
      <w:r>
        <w:t xml:space="preserve">ank (Asset) </w:t>
      </w:r>
    </w:p>
    <w:p w14:paraId="543883E0" w14:textId="07E6EF1A" w:rsidR="005476DA" w:rsidRDefault="005476DA" w:rsidP="001D07DE">
      <w:pPr>
        <w:pStyle w:val="Normalhanging"/>
      </w:pPr>
      <w:r w:rsidRPr="003347E3">
        <w:rPr>
          <w:b/>
        </w:rPr>
        <w:t>Cr</w:t>
      </w:r>
      <w:r>
        <w:tab/>
        <w:t xml:space="preserve">SAU </w:t>
      </w:r>
      <w:r w:rsidR="00700D0D">
        <w:t>i</w:t>
      </w:r>
      <w:r>
        <w:t>nter</w:t>
      </w:r>
      <w:r w:rsidR="00700D0D">
        <w:t>-</w:t>
      </w:r>
      <w:r>
        <w:t xml:space="preserve">entity </w:t>
      </w:r>
      <w:r w:rsidR="00E04894">
        <w:t xml:space="preserve">account </w:t>
      </w:r>
      <w:r>
        <w:t xml:space="preserve">LSL (Asset) </w:t>
      </w:r>
    </w:p>
    <w:p w14:paraId="78E64734" w14:textId="77777777" w:rsidR="005476DA" w:rsidRPr="00EC7718" w:rsidRDefault="005476DA" w:rsidP="001D07DE">
      <w:pPr>
        <w:pStyle w:val="Heading4"/>
      </w:pPr>
      <w:r>
        <w:t xml:space="preserve">4. </w:t>
      </w:r>
      <w:r w:rsidRPr="00EC7718">
        <w:t>Employee resigns or retires – no pay out of leave provision as a result of not accruing a sufficient entitlement to a payout under their conditions of employment</w:t>
      </w:r>
    </w:p>
    <w:p w14:paraId="35468875" w14:textId="77777777" w:rsidR="005476DA" w:rsidRDefault="005476DA" w:rsidP="00EB7C38">
      <w:r>
        <w:t xml:space="preserve">An employee who resigns or retires is not entitled to receive a payment in lieu of LSL if </w:t>
      </w:r>
      <w:r w:rsidR="00E04894">
        <w:t xml:space="preserve">they are </w:t>
      </w:r>
      <w:r>
        <w:t>not recognised as having at least seven or more years of service and is not entitled to pro rata payment in lieu of LSL upon cessation of employment.</w:t>
      </w:r>
    </w:p>
    <w:p w14:paraId="6DEDC000" w14:textId="77777777" w:rsidR="005476DA" w:rsidRDefault="005476DA" w:rsidP="00EB7C38">
      <w:r>
        <w:t>In this situation the LSL provision is written back against LSL expense and no reduction is made to the deposit with the SAU inter entity account.</w:t>
      </w:r>
    </w:p>
    <w:p w14:paraId="54EBB57D" w14:textId="77777777" w:rsidR="005476DA" w:rsidRDefault="005476DA" w:rsidP="001D07DE">
      <w:pPr>
        <w:pStyle w:val="Normalhanging"/>
      </w:pPr>
      <w:r w:rsidRPr="003347E3">
        <w:rPr>
          <w:b/>
        </w:rPr>
        <w:t>Dr</w:t>
      </w:r>
      <w:r>
        <w:tab/>
        <w:t xml:space="preserve">Long service leave provision (Liability) </w:t>
      </w:r>
    </w:p>
    <w:p w14:paraId="719E4F0E" w14:textId="77777777" w:rsidR="005476DA" w:rsidRDefault="005476DA" w:rsidP="001D07DE">
      <w:pPr>
        <w:pStyle w:val="Normalhanging"/>
      </w:pPr>
      <w:r w:rsidRPr="003347E3">
        <w:rPr>
          <w:b/>
        </w:rPr>
        <w:t>Cr</w:t>
      </w:r>
      <w:r>
        <w:tab/>
        <w:t xml:space="preserve">Long Service Leave expense (Expense) </w:t>
      </w:r>
    </w:p>
    <w:p w14:paraId="614BB356" w14:textId="416F5D63" w:rsidR="005476DA" w:rsidRPr="00EC7718" w:rsidRDefault="005476DA" w:rsidP="001D07DE">
      <w:pPr>
        <w:pStyle w:val="Heading4"/>
      </w:pPr>
      <w:r>
        <w:t xml:space="preserve">5. </w:t>
      </w:r>
      <w:r w:rsidRPr="00EC7718">
        <w:t>Deposits accrued in the SAU inter entity account are sufficient to fund</w:t>
      </w:r>
      <w:r w:rsidR="00700D0D">
        <w:t xml:space="preserve"> long service leave</w:t>
      </w:r>
    </w:p>
    <w:p w14:paraId="302BCFC5" w14:textId="77777777" w:rsidR="005476DA" w:rsidRDefault="005476DA" w:rsidP="00EB7C38">
      <w:r>
        <w:t>It is expected that there will generally be sufficient SAU deposits accrued to fund LSL as it falls due for payment. Accordingly the following transactions would normally apply:</w:t>
      </w:r>
    </w:p>
    <w:p w14:paraId="1BCE9721" w14:textId="77777777" w:rsidR="005476DA" w:rsidRDefault="005476DA" w:rsidP="001D07DE">
      <w:pPr>
        <w:pStyle w:val="Normalhanging"/>
      </w:pPr>
      <w:r w:rsidRPr="003347E3">
        <w:rPr>
          <w:b/>
        </w:rPr>
        <w:t>Dr</w:t>
      </w:r>
      <w:r>
        <w:tab/>
        <w:t xml:space="preserve">Long service leave provision (Liability) </w:t>
      </w:r>
    </w:p>
    <w:p w14:paraId="5F88894E" w14:textId="77777777" w:rsidR="005476DA" w:rsidRDefault="005476DA" w:rsidP="001D07DE">
      <w:pPr>
        <w:pStyle w:val="Normalhanging"/>
      </w:pPr>
      <w:r w:rsidRPr="003347E3">
        <w:rPr>
          <w:b/>
        </w:rPr>
        <w:t>Cr</w:t>
      </w:r>
      <w:r>
        <w:tab/>
        <w:t xml:space="preserve">Cash at </w:t>
      </w:r>
      <w:r w:rsidR="00E04894">
        <w:t>b</w:t>
      </w:r>
      <w:r>
        <w:t xml:space="preserve">ank (Asset) </w:t>
      </w:r>
    </w:p>
    <w:p w14:paraId="140857A5" w14:textId="77777777" w:rsidR="005476DA" w:rsidRDefault="005476DA" w:rsidP="00EB7C38">
      <w:r>
        <w:t>Cash at bank would be reimbursed from the SAU inter entity account as follows.</w:t>
      </w:r>
    </w:p>
    <w:p w14:paraId="1F171468" w14:textId="77777777" w:rsidR="005476DA" w:rsidRDefault="005476DA" w:rsidP="001D07DE">
      <w:pPr>
        <w:pStyle w:val="Normalhanging"/>
      </w:pPr>
      <w:r w:rsidRPr="003347E3">
        <w:rPr>
          <w:b/>
        </w:rPr>
        <w:t>Dr</w:t>
      </w:r>
      <w:r>
        <w:tab/>
        <w:t xml:space="preserve">Cash at </w:t>
      </w:r>
      <w:r w:rsidR="00E04894">
        <w:t>b</w:t>
      </w:r>
      <w:r>
        <w:t xml:space="preserve">ank (Asset) </w:t>
      </w:r>
    </w:p>
    <w:p w14:paraId="5376ADDA" w14:textId="77777777" w:rsidR="005476DA" w:rsidRDefault="005476DA" w:rsidP="001D07DE">
      <w:pPr>
        <w:pStyle w:val="Normalhanging"/>
      </w:pPr>
      <w:r w:rsidRPr="003347E3">
        <w:rPr>
          <w:b/>
        </w:rPr>
        <w:t>Cr</w:t>
      </w:r>
      <w:r>
        <w:tab/>
        <w:t xml:space="preserve">SAU Inter entity </w:t>
      </w:r>
      <w:r w:rsidR="00E04894">
        <w:t xml:space="preserve">account </w:t>
      </w:r>
      <w:r>
        <w:t xml:space="preserve">LSL (Asset) </w:t>
      </w:r>
    </w:p>
    <w:p w14:paraId="0AF85665" w14:textId="1DE0C4EF" w:rsidR="005476DA" w:rsidRDefault="005476DA" w:rsidP="00EB7C38">
      <w:r>
        <w:t xml:space="preserve">Refer </w:t>
      </w:r>
      <w:r w:rsidR="00C53CD8">
        <w:t>Attachment 5</w:t>
      </w:r>
      <w:r>
        <w:t xml:space="preserve">: </w:t>
      </w:r>
      <w:r w:rsidR="00C53CD8">
        <w:t>Representation of long service leave funding flows</w:t>
      </w:r>
      <w:r>
        <w:t xml:space="preserve"> for an illustration how the SAU </w:t>
      </w:r>
      <w:r w:rsidR="00C53CD8">
        <w:t>i</w:t>
      </w:r>
      <w:r>
        <w:t>nter</w:t>
      </w:r>
      <w:r w:rsidR="00CB2EDC">
        <w:t>-</w:t>
      </w:r>
      <w:r>
        <w:t xml:space="preserve">entity Account is funded for LSL </w:t>
      </w:r>
      <w:r w:rsidR="00C53CD8">
        <w:t>e</w:t>
      </w:r>
      <w:r>
        <w:t>xpense.</w:t>
      </w:r>
    </w:p>
    <w:p w14:paraId="154C9A99" w14:textId="0A00FF51" w:rsidR="005476DA" w:rsidRPr="004B2462" w:rsidRDefault="00700D0D" w:rsidP="001D07DE">
      <w:pPr>
        <w:pStyle w:val="Heading4"/>
      </w:pPr>
      <w:r>
        <w:t>6</w:t>
      </w:r>
      <w:r w:rsidR="005476DA">
        <w:t xml:space="preserve">. </w:t>
      </w:r>
      <w:r w:rsidR="005476DA" w:rsidRPr="004B2462">
        <w:t>Deposits accrued in the SAU inter</w:t>
      </w:r>
      <w:r w:rsidR="00C53CD8">
        <w:t>-</w:t>
      </w:r>
      <w:r w:rsidR="005476DA" w:rsidRPr="004B2462">
        <w:t xml:space="preserve">entity account are insufficient to fund </w:t>
      </w:r>
      <w:r w:rsidR="00C53CD8">
        <w:t xml:space="preserve">long service leave </w:t>
      </w:r>
      <w:r w:rsidR="005476DA" w:rsidRPr="004B2462">
        <w:t>over the long term</w:t>
      </w:r>
    </w:p>
    <w:p w14:paraId="36D39DD9" w14:textId="77777777" w:rsidR="005476DA" w:rsidRDefault="005476DA" w:rsidP="00EB7C38">
      <w:r>
        <w:t>There may be occasions where deposits accrued in the SAU inter entity account will be insufficient to pay LSL over the long term due to some unforeseen condition arising. There are two specific times when this can occur:</w:t>
      </w:r>
    </w:p>
    <w:p w14:paraId="6F5B657F" w14:textId="634F7ACD" w:rsidR="005476DA" w:rsidRDefault="00C53CD8" w:rsidP="00230521">
      <w:pPr>
        <w:pStyle w:val="Numpara"/>
        <w:numPr>
          <w:ilvl w:val="0"/>
          <w:numId w:val="14"/>
        </w:numPr>
        <w:tabs>
          <w:tab w:val="clear" w:pos="540"/>
          <w:tab w:val="left" w:pos="567"/>
        </w:tabs>
        <w:ind w:left="567" w:hanging="567"/>
      </w:pPr>
      <w:r>
        <w:t>t</w:t>
      </w:r>
      <w:r w:rsidR="005476DA">
        <w:t>here is an increase in the number of staff taking LSL in a particular year; or</w:t>
      </w:r>
    </w:p>
    <w:p w14:paraId="2051A6E9" w14:textId="7B26E309" w:rsidR="005476DA" w:rsidRDefault="00C53CD8" w:rsidP="00DA412B">
      <w:pPr>
        <w:pStyle w:val="Numpara"/>
        <w:numPr>
          <w:ilvl w:val="0"/>
          <w:numId w:val="14"/>
        </w:numPr>
        <w:tabs>
          <w:tab w:val="clear" w:pos="540"/>
          <w:tab w:val="left" w:pos="567"/>
        </w:tabs>
        <w:ind w:left="567" w:hanging="567"/>
      </w:pPr>
      <w:r>
        <w:t>d</w:t>
      </w:r>
      <w:r w:rsidR="00DA412B">
        <w:t>ue to the age profile of staff in a Department, a significant number of staff who have accrued LSL fall due for retirement.</w:t>
      </w:r>
    </w:p>
    <w:p w14:paraId="777CF02A" w14:textId="77777777" w:rsidR="005476DA" w:rsidRDefault="005476DA" w:rsidP="00EB7C38">
      <w:r>
        <w:t>For both conditions noted above:</w:t>
      </w:r>
    </w:p>
    <w:p w14:paraId="0F166BF4" w14:textId="77777777" w:rsidR="005476DA" w:rsidRDefault="005476DA" w:rsidP="00EB7C38">
      <w:r>
        <w:t>Reduction in liability (provision for long service leave)</w:t>
      </w:r>
    </w:p>
    <w:p w14:paraId="6A382A4F" w14:textId="77777777" w:rsidR="005476DA" w:rsidRDefault="005476DA" w:rsidP="001D07DE">
      <w:pPr>
        <w:pStyle w:val="Normalhanging"/>
      </w:pPr>
      <w:r w:rsidRPr="003347E3">
        <w:rPr>
          <w:b/>
        </w:rPr>
        <w:t>Dr</w:t>
      </w:r>
      <w:r>
        <w:tab/>
        <w:t xml:space="preserve">Long service leave provision (Liability) </w:t>
      </w:r>
    </w:p>
    <w:p w14:paraId="07BBFB29" w14:textId="6312332F" w:rsidR="005476DA" w:rsidRDefault="005476DA" w:rsidP="001D07DE">
      <w:pPr>
        <w:pStyle w:val="Normalhanging"/>
      </w:pPr>
      <w:r w:rsidRPr="003347E3">
        <w:rPr>
          <w:b/>
        </w:rPr>
        <w:t>Cr</w:t>
      </w:r>
      <w:r>
        <w:tab/>
        <w:t>Appropriation</w:t>
      </w:r>
      <w:r w:rsidR="0018102F">
        <w:rPr>
          <w:rStyle w:val="FootnoteReference"/>
        </w:rPr>
        <w:footnoteReference w:id="29"/>
      </w:r>
      <w:r w:rsidR="009A1BD1">
        <w:t xml:space="preserve"> </w:t>
      </w:r>
    </w:p>
    <w:p w14:paraId="519EFAEE" w14:textId="77777777" w:rsidR="005476DA" w:rsidRDefault="005476DA" w:rsidP="001D07DE">
      <w:pPr>
        <w:pStyle w:val="Normalhanging"/>
      </w:pPr>
      <w:r>
        <w:rPr>
          <w:b/>
        </w:rPr>
        <w:t>Cr</w:t>
      </w:r>
      <w:r>
        <w:rPr>
          <w:b/>
        </w:rPr>
        <w:tab/>
      </w:r>
      <w:r w:rsidRPr="00ED7FF6">
        <w:t>SAU balance (to the extent that existing balances are available)</w:t>
      </w:r>
    </w:p>
    <w:p w14:paraId="562845C5" w14:textId="6B2997F3" w:rsidR="009A1BD1" w:rsidRPr="009A1BD1" w:rsidRDefault="009A1BD1" w:rsidP="009A1BD1">
      <w:pPr>
        <w:pStyle w:val="Footer"/>
        <w:rPr>
          <w:rStyle w:val="SubtleReference"/>
          <w:smallCaps w:val="0"/>
          <w:color w:val="auto"/>
        </w:rPr>
      </w:pPr>
    </w:p>
    <w:p w14:paraId="5B0D6EA6" w14:textId="52EFD79F" w:rsidR="005476DA" w:rsidRPr="004B2462" w:rsidRDefault="00700D0D" w:rsidP="001D07DE">
      <w:pPr>
        <w:pStyle w:val="Heading4"/>
      </w:pPr>
      <w:r>
        <w:t>7</w:t>
      </w:r>
      <w:r w:rsidR="005476DA">
        <w:t xml:space="preserve">. </w:t>
      </w:r>
      <w:r w:rsidR="005476DA" w:rsidRPr="004B2462">
        <w:t xml:space="preserve">The transfer of an employee’s accrued service leave entitlement when that employee secures employment outside of a </w:t>
      </w:r>
      <w:r w:rsidR="005476DA">
        <w:t>D</w:t>
      </w:r>
      <w:r w:rsidR="005476DA" w:rsidRPr="004B2462">
        <w:t>epartment to an organi</w:t>
      </w:r>
      <w:r w:rsidR="005476DA">
        <w:t>s</w:t>
      </w:r>
      <w:r w:rsidR="005476DA" w:rsidRPr="004B2462">
        <w:t xml:space="preserve">ation not covered by agreements </w:t>
      </w:r>
      <w:r w:rsidR="005476DA">
        <w:t>for the transfer of LSL funding</w:t>
      </w:r>
    </w:p>
    <w:p w14:paraId="2D5ACF9D" w14:textId="77777777" w:rsidR="005476DA" w:rsidRDefault="005476DA" w:rsidP="00EB7C38">
      <w:r>
        <w:t>Circumstances may arise where an employee secures employment outside a Department and their accrued LSL provision is recognised by the new employer. Unless employment arrangements exist for the payment of LSL on a pro rata basis upon resignation the following applies:</w:t>
      </w:r>
    </w:p>
    <w:p w14:paraId="0FDB96CD" w14:textId="77777777" w:rsidR="005476DA" w:rsidRDefault="005476DA" w:rsidP="001D07DE">
      <w:pPr>
        <w:pStyle w:val="Normalhanging"/>
      </w:pPr>
      <w:r w:rsidRPr="003347E3">
        <w:rPr>
          <w:b/>
        </w:rPr>
        <w:t>Dr</w:t>
      </w:r>
      <w:r>
        <w:tab/>
        <w:t xml:space="preserve">Long service leave provision (Liability) </w:t>
      </w:r>
    </w:p>
    <w:p w14:paraId="7634E500" w14:textId="77777777" w:rsidR="005476DA" w:rsidRDefault="005476DA" w:rsidP="001D07DE">
      <w:pPr>
        <w:pStyle w:val="Normalhanging"/>
      </w:pPr>
      <w:r w:rsidRPr="003347E3">
        <w:rPr>
          <w:b/>
        </w:rPr>
        <w:t>Cr</w:t>
      </w:r>
      <w:r>
        <w:tab/>
        <w:t xml:space="preserve">Long service leave expense (Expense) </w:t>
      </w:r>
    </w:p>
    <w:p w14:paraId="6642297C" w14:textId="008900A2" w:rsidR="005476DA" w:rsidRPr="004B2462" w:rsidRDefault="00700D0D" w:rsidP="001D07DE">
      <w:pPr>
        <w:pStyle w:val="Heading4"/>
      </w:pPr>
      <w:r>
        <w:t>8</w:t>
      </w:r>
      <w:r w:rsidR="005476DA">
        <w:t xml:space="preserve">. </w:t>
      </w:r>
      <w:r w:rsidR="005476DA" w:rsidRPr="004B2462">
        <w:t>L</w:t>
      </w:r>
      <w:r w:rsidR="00C53CD8">
        <w:t>ong service leave</w:t>
      </w:r>
      <w:r w:rsidR="005476DA" w:rsidRPr="004B2462">
        <w:t xml:space="preserve"> accruals for salaries paid from Special Appropriations or Trust Funds</w:t>
      </w:r>
    </w:p>
    <w:p w14:paraId="133E56E3" w14:textId="38F16AAF" w:rsidR="005476DA" w:rsidRDefault="005476DA" w:rsidP="00EB7C38">
      <w:r>
        <w:t xml:space="preserve">Normally salaries and employee entitlements will be funded out of output revenue. However, there will be some cases where the source of funds will be either from special appropriations or trust funds. In these circumstances it will be necessary to charge LSL expense against the </w:t>
      </w:r>
      <w:r w:rsidR="00C53CD8">
        <w:t>S</w:t>
      </w:r>
      <w:r>
        <w:t xml:space="preserve">pecial </w:t>
      </w:r>
      <w:r w:rsidR="00C53CD8">
        <w:t>A</w:t>
      </w:r>
      <w:r>
        <w:t>ppropriation or trust fund with a corresponding increase in the SAU inter</w:t>
      </w:r>
      <w:r w:rsidR="00C53CD8">
        <w:t>-</w:t>
      </w:r>
      <w:r>
        <w:t>entity account.</w:t>
      </w:r>
    </w:p>
    <w:p w14:paraId="5997F7F6" w14:textId="77777777" w:rsidR="005476DA" w:rsidRDefault="005476DA" w:rsidP="00AC49BB">
      <w:pPr>
        <w:pStyle w:val="Listnum"/>
        <w:numPr>
          <w:ilvl w:val="0"/>
          <w:numId w:val="13"/>
        </w:numPr>
      </w:pPr>
      <w:r w:rsidRPr="001D07DE">
        <w:t>Long</w:t>
      </w:r>
      <w:r>
        <w:t xml:space="preserve"> service leave is accrued</w:t>
      </w:r>
    </w:p>
    <w:p w14:paraId="36108CBB" w14:textId="77777777" w:rsidR="005476DA" w:rsidRDefault="005476DA" w:rsidP="001D07DE">
      <w:pPr>
        <w:pStyle w:val="Normalhanging"/>
      </w:pPr>
      <w:r w:rsidRPr="003347E3">
        <w:rPr>
          <w:b/>
        </w:rPr>
        <w:t>Dr</w:t>
      </w:r>
      <w:r>
        <w:tab/>
        <w:t xml:space="preserve">Long service leave expense (Expense) </w:t>
      </w:r>
    </w:p>
    <w:p w14:paraId="33F3BF25" w14:textId="77777777" w:rsidR="005476DA" w:rsidRDefault="005476DA" w:rsidP="001D07DE">
      <w:pPr>
        <w:pStyle w:val="Normalhanging"/>
      </w:pPr>
      <w:r w:rsidRPr="003347E3">
        <w:rPr>
          <w:b/>
        </w:rPr>
        <w:t>Cr</w:t>
      </w:r>
      <w:r>
        <w:tab/>
        <w:t xml:space="preserve">Long service leave provision (Liability) </w:t>
      </w:r>
    </w:p>
    <w:p w14:paraId="28F8C6C9" w14:textId="126D943B" w:rsidR="005476DA" w:rsidRDefault="005476DA" w:rsidP="00DA412B">
      <w:pPr>
        <w:pStyle w:val="Listnum"/>
        <w:numPr>
          <w:ilvl w:val="0"/>
          <w:numId w:val="36"/>
        </w:numPr>
      </w:pPr>
      <w:r>
        <w:t xml:space="preserve">Transfer of funds equal to </w:t>
      </w:r>
      <w:r w:rsidR="00C53CD8">
        <w:t>l</w:t>
      </w:r>
      <w:r>
        <w:t xml:space="preserve">ong </w:t>
      </w:r>
      <w:r w:rsidR="00C53CD8">
        <w:t>s</w:t>
      </w:r>
      <w:r>
        <w:t xml:space="preserve">ervice </w:t>
      </w:r>
      <w:r w:rsidR="00C53CD8">
        <w:t>l</w:t>
      </w:r>
      <w:r>
        <w:t xml:space="preserve">eave expense into </w:t>
      </w:r>
      <w:r w:rsidR="00C53CD8">
        <w:t xml:space="preserve">the </w:t>
      </w:r>
      <w:r>
        <w:t xml:space="preserve">SAU </w:t>
      </w:r>
      <w:r w:rsidR="00C53CD8">
        <w:t>i</w:t>
      </w:r>
      <w:r>
        <w:t>nter</w:t>
      </w:r>
      <w:r w:rsidR="00C53CD8">
        <w:t>-</w:t>
      </w:r>
      <w:r>
        <w:t>entity Account</w:t>
      </w:r>
    </w:p>
    <w:p w14:paraId="6AEEC66A" w14:textId="6DAF7F1E" w:rsidR="005476DA" w:rsidRDefault="005476DA" w:rsidP="001D07DE">
      <w:pPr>
        <w:pStyle w:val="Normalhanging"/>
      </w:pPr>
      <w:r w:rsidRPr="003347E3">
        <w:rPr>
          <w:b/>
        </w:rPr>
        <w:t>Dr</w:t>
      </w:r>
      <w:r>
        <w:t xml:space="preserve"> </w:t>
      </w:r>
      <w:r>
        <w:tab/>
        <w:t xml:space="preserve">SAU </w:t>
      </w:r>
      <w:r w:rsidR="00C53CD8">
        <w:t>i</w:t>
      </w:r>
      <w:r>
        <w:t>nter</w:t>
      </w:r>
      <w:r w:rsidR="00C53CD8">
        <w:t>-</w:t>
      </w:r>
      <w:r>
        <w:t xml:space="preserve">entity </w:t>
      </w:r>
      <w:r w:rsidR="00E04894">
        <w:t xml:space="preserve">account </w:t>
      </w:r>
      <w:r>
        <w:t xml:space="preserve">LSL (Asset) </w:t>
      </w:r>
    </w:p>
    <w:p w14:paraId="653EAF97" w14:textId="77777777" w:rsidR="005476DA" w:rsidRDefault="005476DA" w:rsidP="001D07DE">
      <w:pPr>
        <w:pStyle w:val="Normalhanging"/>
      </w:pPr>
      <w:r w:rsidRPr="003347E3">
        <w:rPr>
          <w:b/>
        </w:rPr>
        <w:t>Cr</w:t>
      </w:r>
      <w:r>
        <w:t xml:space="preserve"> </w:t>
      </w:r>
      <w:r>
        <w:tab/>
        <w:t>Special Appropriation (Revenue)</w:t>
      </w:r>
    </w:p>
    <w:p w14:paraId="30E32107" w14:textId="77777777" w:rsidR="00283CA3" w:rsidRDefault="005476DA" w:rsidP="00C1154D">
      <w:pPr>
        <w:pStyle w:val="Heading2"/>
      </w:pPr>
      <w:bookmarkStart w:id="543" w:name="_Toc476658166"/>
      <w:bookmarkStart w:id="544" w:name="_Toc445459784"/>
      <w:r>
        <w:t xml:space="preserve">Attachment 5: </w:t>
      </w:r>
      <w:r w:rsidR="00AC21AD">
        <w:t>R</w:t>
      </w:r>
      <w:r>
        <w:t>epresentation of l</w:t>
      </w:r>
      <w:r w:rsidR="00283CA3">
        <w:t>ong service leave funding flows</w:t>
      </w:r>
      <w:bookmarkEnd w:id="543"/>
    </w:p>
    <w:p w14:paraId="1476D5F9" w14:textId="00AC93A5" w:rsidR="005476DA" w:rsidRDefault="005476DA" w:rsidP="00283CA3">
      <w:pPr>
        <w:pStyle w:val="Heading4"/>
      </w:pPr>
      <w:r>
        <w:t>(</w:t>
      </w:r>
      <w:r w:rsidR="00C53CD8">
        <w:t>Department of Economic Development, Jobs, Transport and Resources (</w:t>
      </w:r>
      <w:r>
        <w:t>DEDJTR</w:t>
      </w:r>
      <w:r w:rsidR="00C53CD8">
        <w:t xml:space="preserve">) and State Library Victoria (SLV) used in this </w:t>
      </w:r>
      <w:r>
        <w:t>example)</w:t>
      </w:r>
      <w:bookmarkEnd w:id="544"/>
    </w:p>
    <w:p w14:paraId="2DFB6F6D" w14:textId="77777777" w:rsidR="00632F2E" w:rsidRDefault="00F027D8" w:rsidP="005476DA">
      <w:r>
        <w:rPr>
          <w:noProof/>
        </w:rPr>
        <mc:AlternateContent>
          <mc:Choice Requires="wpg">
            <w:drawing>
              <wp:inline distT="0" distB="0" distL="0" distR="0" wp14:anchorId="46307DCE" wp14:editId="4D5724F9">
                <wp:extent cx="5760720" cy="3392424"/>
                <wp:effectExtent l="0" t="0" r="11430" b="17780"/>
                <wp:docPr id="19733" name="Group 19"/>
                <wp:cNvGraphicFramePr/>
                <a:graphic xmlns:a="http://schemas.openxmlformats.org/drawingml/2006/main">
                  <a:graphicData uri="http://schemas.microsoft.com/office/word/2010/wordprocessingGroup">
                    <wpg:wgp>
                      <wpg:cNvGrpSpPr/>
                      <wpg:grpSpPr>
                        <a:xfrm>
                          <a:off x="0" y="0"/>
                          <a:ext cx="5760720" cy="3392424"/>
                          <a:chOff x="0" y="0"/>
                          <a:chExt cx="5764004" cy="3388820"/>
                        </a:xfrm>
                      </wpg:grpSpPr>
                      <wps:wsp>
                        <wps:cNvPr id="19734" name="Straight Connector 19734"/>
                        <wps:cNvCnPr>
                          <a:stCxn id="19490" idx="3"/>
                          <a:endCxn id="19491" idx="1"/>
                        </wps:cNvCnPr>
                        <wps:spPr>
                          <a:xfrm flipV="1">
                            <a:off x="3131209" y="842876"/>
                            <a:ext cx="1433671" cy="5641"/>
                          </a:xfrm>
                          <a:prstGeom prst="line">
                            <a:avLst/>
                          </a:prstGeom>
                          <a:noFill/>
                          <a:ln w="9525" cap="flat" cmpd="sng" algn="ctr">
                            <a:solidFill>
                              <a:sysClr val="windowText" lastClr="000000"/>
                            </a:solidFill>
                            <a:prstDash val="solid"/>
                            <a:headEnd type="stealth" w="med" len="lg"/>
                            <a:tailEnd type="stealth" w="med" len="lg"/>
                          </a:ln>
                          <a:effectLst/>
                        </wps:spPr>
                        <wps:bodyPr/>
                      </wps:wsp>
                      <wps:wsp>
                        <wps:cNvPr id="19735" name="Elbow Connector 19735"/>
                        <wps:cNvCnPr>
                          <a:stCxn id="19488" idx="1"/>
                          <a:endCxn id="19489" idx="2"/>
                        </wps:cNvCnPr>
                        <wps:spPr>
                          <a:xfrm rot="10800000">
                            <a:off x="897146" y="1051198"/>
                            <a:ext cx="360616" cy="907469"/>
                          </a:xfrm>
                          <a:prstGeom prst="bentConnector2">
                            <a:avLst/>
                          </a:prstGeom>
                          <a:noFill/>
                          <a:ln w="9525" cap="flat" cmpd="sng" algn="ctr">
                            <a:solidFill>
                              <a:sysClr val="windowText" lastClr="000000"/>
                            </a:solidFill>
                            <a:prstDash val="solid"/>
                            <a:tailEnd type="stealth" w="med" len="lg"/>
                          </a:ln>
                          <a:effectLst/>
                        </wps:spPr>
                        <wps:bodyPr/>
                      </wps:wsp>
                      <wps:wsp>
                        <wps:cNvPr id="19736" name="Elbow Connector 19736"/>
                        <wps:cNvCnPr>
                          <a:stCxn id="19490" idx="2"/>
                          <a:endCxn id="19488" idx="3"/>
                        </wps:cNvCnPr>
                        <wps:spPr>
                          <a:xfrm rot="5400000">
                            <a:off x="2082366" y="1305623"/>
                            <a:ext cx="910289" cy="395799"/>
                          </a:xfrm>
                          <a:prstGeom prst="bentConnector2">
                            <a:avLst/>
                          </a:prstGeom>
                          <a:noFill/>
                          <a:ln w="9525" cap="flat" cmpd="sng" algn="ctr">
                            <a:solidFill>
                              <a:sysClr val="windowText" lastClr="000000"/>
                            </a:solidFill>
                            <a:prstDash val="solid"/>
                            <a:tailEnd type="stealth" w="med" len="lg"/>
                          </a:ln>
                          <a:effectLst/>
                        </wps:spPr>
                        <wps:bodyPr/>
                      </wps:wsp>
                      <wps:wsp>
                        <wps:cNvPr id="19737" name="Text Box 81"/>
                        <wps:cNvSpPr txBox="1">
                          <a:spLocks noChangeArrowheads="1"/>
                        </wps:cNvSpPr>
                        <wps:spPr bwMode="auto">
                          <a:xfrm>
                            <a:off x="4344011" y="1455251"/>
                            <a:ext cx="1419993" cy="1933569"/>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736407C9" w14:textId="77777777" w:rsidR="002536F9" w:rsidRPr="00554BC6" w:rsidRDefault="002536F9" w:rsidP="00F027D8">
                              <w:pPr>
                                <w:pStyle w:val="NormalWeb"/>
                                <w:spacing w:beforeAutospacing="0" w:afterAutospacing="0"/>
                                <w:textAlignment w:val="baseline"/>
                                <w:rPr>
                                  <w:rFonts w:asciiTheme="minorHAnsi" w:hAnsiTheme="minorHAnsi" w:cstheme="minorHAnsi"/>
                                  <w:sz w:val="14"/>
                                  <w:szCs w:val="14"/>
                                </w:rPr>
                              </w:pPr>
                              <w:r w:rsidRPr="00554BC6">
                                <w:rPr>
                                  <w:rFonts w:asciiTheme="minorHAnsi" w:eastAsia="Times New Roman" w:hAnsiTheme="minorHAnsi" w:cstheme="minorHAnsi"/>
                                  <w:color w:val="000000" w:themeColor="text1"/>
                                  <w:spacing w:val="2"/>
                                  <w:sz w:val="14"/>
                                  <w:szCs w:val="14"/>
                                  <w:lang w:val="en-US"/>
                                </w:rPr>
                                <w:t>SLV records $100 expense, but is not funded for the $10 LSL expense, therefore, it records a $10 operating loss.</w:t>
                              </w:r>
                            </w:p>
                            <w:p w14:paraId="5F8B9876" w14:textId="77777777" w:rsidR="002536F9" w:rsidRPr="00554BC6" w:rsidRDefault="002536F9" w:rsidP="00F027D8">
                              <w:pPr>
                                <w:pStyle w:val="NormalWeb"/>
                                <w:kinsoku w:val="0"/>
                                <w:overflowPunct w:val="0"/>
                                <w:spacing w:beforeAutospacing="0" w:afterAutospacing="0"/>
                                <w:textAlignment w:val="baseline"/>
                                <w:rPr>
                                  <w:rFonts w:asciiTheme="minorHAnsi" w:hAnsiTheme="minorHAnsi" w:cstheme="minorHAnsi"/>
                                  <w:sz w:val="14"/>
                                  <w:szCs w:val="14"/>
                                </w:rPr>
                              </w:pPr>
                              <w:r w:rsidRPr="00554BC6">
                                <w:rPr>
                                  <w:rFonts w:asciiTheme="minorHAnsi" w:eastAsia="Times New Roman" w:hAnsiTheme="minorHAnsi" w:cstheme="minorHAnsi"/>
                                  <w:color w:val="000000" w:themeColor="text1"/>
                                  <w:spacing w:val="2"/>
                                  <w:sz w:val="14"/>
                                  <w:szCs w:val="14"/>
                                  <w:lang w:val="en-US"/>
                                </w:rPr>
                                <w:t xml:space="preserve">SLV’s balance sheet records a $10 </w:t>
                              </w:r>
                              <w:r w:rsidRPr="00554BC6">
                                <w:rPr>
                                  <w:rFonts w:asciiTheme="minorHAnsi" w:eastAsia="Times New Roman" w:hAnsiTheme="minorHAnsi" w:cstheme="minorHAnsi"/>
                                  <w:b/>
                                  <w:bCs/>
                                  <w:spacing w:val="2"/>
                                  <w:sz w:val="14"/>
                                  <w:szCs w:val="14"/>
                                  <w:lang w:val="en-US"/>
                                </w:rPr>
                                <w:t>liability</w:t>
                              </w:r>
                              <w:r w:rsidRPr="00554BC6">
                                <w:rPr>
                                  <w:rFonts w:asciiTheme="minorHAnsi" w:eastAsia="Times New Roman" w:hAnsiTheme="minorHAnsi" w:cstheme="minorHAnsi"/>
                                  <w:i/>
                                  <w:iCs/>
                                  <w:spacing w:val="2"/>
                                  <w:sz w:val="14"/>
                                  <w:szCs w:val="14"/>
                                  <w:lang w:val="en-US"/>
                                </w:rPr>
                                <w:t xml:space="preserve"> </w:t>
                              </w:r>
                              <w:r w:rsidRPr="00554BC6">
                                <w:rPr>
                                  <w:rFonts w:asciiTheme="minorHAnsi" w:eastAsia="Times New Roman" w:hAnsiTheme="minorHAnsi" w:cstheme="minorHAnsi"/>
                                  <w:color w:val="000000" w:themeColor="text1"/>
                                  <w:spacing w:val="2"/>
                                  <w:sz w:val="14"/>
                                  <w:szCs w:val="14"/>
                                  <w:lang w:val="en-US"/>
                                </w:rPr>
                                <w:t xml:space="preserve">equal to the increase in their LSL provision, and a $10 decrease in </w:t>
                              </w:r>
                              <w:r w:rsidRPr="00554BC6">
                                <w:rPr>
                                  <w:rFonts w:asciiTheme="minorHAnsi" w:eastAsia="Times New Roman" w:hAnsiTheme="minorHAnsi" w:cstheme="minorHAnsi"/>
                                  <w:b/>
                                  <w:bCs/>
                                  <w:color w:val="000000" w:themeColor="text1"/>
                                  <w:spacing w:val="2"/>
                                  <w:sz w:val="14"/>
                                  <w:szCs w:val="14"/>
                                  <w:lang w:val="en-US"/>
                                </w:rPr>
                                <w:t>accumulated funds</w:t>
                              </w:r>
                              <w:r w:rsidRPr="00554BC6">
                                <w:rPr>
                                  <w:rFonts w:asciiTheme="minorHAnsi" w:eastAsia="Times New Roman" w:hAnsiTheme="minorHAnsi" w:cstheme="minorHAnsi"/>
                                  <w:color w:val="000000" w:themeColor="text1"/>
                                  <w:spacing w:val="2"/>
                                  <w:sz w:val="14"/>
                                  <w:szCs w:val="14"/>
                                  <w:lang w:val="en-US"/>
                                </w:rPr>
                                <w:t xml:space="preserve"> equal to the unfunded $10 held by DEDJTR.</w:t>
                              </w:r>
                            </w:p>
                            <w:p w14:paraId="0964DD2F" w14:textId="77777777" w:rsidR="002536F9" w:rsidRPr="00554BC6" w:rsidRDefault="002536F9" w:rsidP="00F027D8">
                              <w:pPr>
                                <w:pStyle w:val="NormalWeb"/>
                                <w:kinsoku w:val="0"/>
                                <w:overflowPunct w:val="0"/>
                                <w:spacing w:beforeAutospacing="0" w:afterAutospacing="0"/>
                                <w:textAlignment w:val="baseline"/>
                                <w:rPr>
                                  <w:rFonts w:asciiTheme="minorHAnsi" w:hAnsiTheme="minorHAnsi" w:cstheme="minorHAnsi"/>
                                  <w:sz w:val="14"/>
                                  <w:szCs w:val="14"/>
                                </w:rPr>
                              </w:pPr>
                              <w:r w:rsidRPr="00554BC6">
                                <w:rPr>
                                  <w:rFonts w:asciiTheme="minorHAnsi" w:eastAsia="Times New Roman" w:hAnsiTheme="minorHAnsi" w:cstheme="minorHAnsi"/>
                                  <w:color w:val="000000" w:themeColor="text1"/>
                                  <w:spacing w:val="2"/>
                                  <w:sz w:val="14"/>
                                  <w:szCs w:val="14"/>
                                  <w:lang w:val="en-US"/>
                                </w:rPr>
                                <w:t>SLV needs to provide a business case proving that it requires the $10 before it will be passed on from DEDJTR.</w:t>
                              </w:r>
                            </w:p>
                          </w:txbxContent>
                        </wps:txbx>
                        <wps:bodyPr vert="horz" wrap="square" lIns="91440" tIns="45720" rIns="91440" bIns="45720" numCol="1" anchor="t" anchorCtr="0" compatLnSpc="1">
                          <a:prstTxWarp prst="textNoShape">
                            <a:avLst/>
                          </a:prstTxWarp>
                        </wps:bodyPr>
                      </wps:wsp>
                      <wps:wsp>
                        <wps:cNvPr id="19738" name="Text Box 80"/>
                        <wps:cNvSpPr txBox="1">
                          <a:spLocks noChangeArrowheads="1"/>
                        </wps:cNvSpPr>
                        <wps:spPr bwMode="auto">
                          <a:xfrm>
                            <a:off x="8796" y="2330445"/>
                            <a:ext cx="4123257" cy="1058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18C5AA71" w14:textId="77777777" w:rsidR="002536F9" w:rsidRPr="00554BC6" w:rsidRDefault="002536F9" w:rsidP="00F027D8">
                              <w:pPr>
                                <w:pStyle w:val="NormalWeb"/>
                                <w:spacing w:beforeAutospacing="0" w:afterAutospacing="0"/>
                                <w:textAlignment w:val="baseline"/>
                                <w:rPr>
                                  <w:rFonts w:asciiTheme="minorHAnsi" w:hAnsiTheme="minorHAnsi" w:cstheme="minorHAnsi"/>
                                  <w:sz w:val="14"/>
                                  <w:szCs w:val="14"/>
                                </w:rPr>
                              </w:pPr>
                              <w:r w:rsidRPr="00554BC6">
                                <w:rPr>
                                  <w:rFonts w:asciiTheme="minorHAnsi" w:eastAsia="Times New Roman" w:hAnsiTheme="minorHAnsi" w:cstheme="minorHAnsi"/>
                                  <w:color w:val="000000" w:themeColor="text1"/>
                                  <w:spacing w:val="2"/>
                                  <w:sz w:val="14"/>
                                  <w:szCs w:val="14"/>
                                  <w:lang w:val="en-US"/>
                                </w:rPr>
                                <w:t>DEDJTR receives $100 revenue from the SAU for delivery of SLV outputs. SLV’s costs are $10 for LSL expense and $90 for other expenses.</w:t>
                              </w:r>
                            </w:p>
                            <w:p w14:paraId="72287442" w14:textId="77A8CA13" w:rsidR="002536F9" w:rsidRPr="00554BC6" w:rsidRDefault="002536F9" w:rsidP="00F027D8">
                              <w:pPr>
                                <w:pStyle w:val="NormalWeb"/>
                                <w:kinsoku w:val="0"/>
                                <w:overflowPunct w:val="0"/>
                                <w:spacing w:beforeAutospacing="0" w:afterAutospacing="0"/>
                                <w:textAlignment w:val="baseline"/>
                                <w:rPr>
                                  <w:rFonts w:asciiTheme="minorHAnsi" w:hAnsiTheme="minorHAnsi" w:cstheme="minorHAnsi"/>
                                  <w:sz w:val="14"/>
                                  <w:szCs w:val="14"/>
                                </w:rPr>
                              </w:pPr>
                              <w:r w:rsidRPr="00554BC6">
                                <w:rPr>
                                  <w:rFonts w:asciiTheme="minorHAnsi" w:eastAsia="Times New Roman" w:hAnsiTheme="minorHAnsi" w:cstheme="minorHAnsi"/>
                                  <w:color w:val="000000" w:themeColor="text1"/>
                                  <w:spacing w:val="2"/>
                                  <w:sz w:val="14"/>
                                  <w:szCs w:val="14"/>
                                  <w:lang w:val="en-US"/>
                                </w:rPr>
                                <w:t xml:space="preserve">DEDJTR does not fund SLV for the $10 LSL expense because SLV will not spend this as cash in the </w:t>
                              </w:r>
                              <w:r>
                                <w:rPr>
                                  <w:rFonts w:asciiTheme="minorHAnsi" w:eastAsia="Times New Roman" w:hAnsiTheme="minorHAnsi" w:cstheme="minorHAnsi"/>
                                  <w:color w:val="000000" w:themeColor="text1"/>
                                  <w:spacing w:val="2"/>
                                  <w:sz w:val="14"/>
                                  <w:szCs w:val="14"/>
                                  <w:lang w:val="en-US"/>
                                </w:rPr>
                                <w:t>b</w:t>
                              </w:r>
                              <w:r w:rsidRPr="00554BC6">
                                <w:rPr>
                                  <w:rFonts w:asciiTheme="minorHAnsi" w:eastAsia="Times New Roman" w:hAnsiTheme="minorHAnsi" w:cstheme="minorHAnsi"/>
                                  <w:color w:val="000000" w:themeColor="text1"/>
                                  <w:spacing w:val="2"/>
                                  <w:sz w:val="14"/>
                                  <w:szCs w:val="14"/>
                                  <w:lang w:val="en-US"/>
                                </w:rPr>
                                <w:t xml:space="preserve">udget year. Accordingly, DEDJTR records a $90 expense (current grant to SLV) and a $10 profit held as a </w:t>
                              </w:r>
                              <w:r w:rsidRPr="00554BC6">
                                <w:rPr>
                                  <w:rFonts w:asciiTheme="minorHAnsi" w:eastAsia="Times New Roman" w:hAnsiTheme="minorHAnsi" w:cstheme="minorHAnsi"/>
                                  <w:b/>
                                  <w:bCs/>
                                  <w:color w:val="000000" w:themeColor="text1"/>
                                  <w:spacing w:val="2"/>
                                  <w:sz w:val="14"/>
                                  <w:szCs w:val="14"/>
                                  <w:lang w:val="en-US"/>
                                </w:rPr>
                                <w:t>receivable/asset</w:t>
                              </w:r>
                              <w:r w:rsidRPr="00554BC6">
                                <w:rPr>
                                  <w:rFonts w:asciiTheme="minorHAnsi" w:eastAsia="Times New Roman" w:hAnsiTheme="minorHAnsi" w:cstheme="minorHAnsi"/>
                                  <w:color w:val="000000" w:themeColor="text1"/>
                                  <w:spacing w:val="2"/>
                                  <w:sz w:val="14"/>
                                  <w:szCs w:val="14"/>
                                  <w:lang w:val="en-US"/>
                                </w:rPr>
                                <w:t xml:space="preserve"> in its inter</w:t>
                              </w:r>
                              <w:r w:rsidRPr="00554BC6">
                                <w:rPr>
                                  <w:rFonts w:asciiTheme="minorHAnsi" w:eastAsia="Times New Roman" w:hAnsiTheme="minorHAnsi" w:cstheme="minorHAnsi"/>
                                  <w:color w:val="000000" w:themeColor="text1"/>
                                  <w:spacing w:val="2"/>
                                  <w:sz w:val="14"/>
                                  <w:szCs w:val="14"/>
                                  <w:lang w:val="en-US"/>
                                </w:rPr>
                                <w:noBreakHyphen/>
                                <w:t>entity SAU account.</w:t>
                              </w:r>
                            </w:p>
                            <w:p w14:paraId="1501058F" w14:textId="77777777" w:rsidR="002536F9" w:rsidRPr="00554BC6" w:rsidRDefault="002536F9" w:rsidP="00F027D8">
                              <w:pPr>
                                <w:pStyle w:val="NormalWeb"/>
                                <w:kinsoku w:val="0"/>
                                <w:overflowPunct w:val="0"/>
                                <w:spacing w:beforeAutospacing="0" w:afterAutospacing="0"/>
                                <w:textAlignment w:val="baseline"/>
                                <w:rPr>
                                  <w:rFonts w:asciiTheme="minorHAnsi" w:hAnsiTheme="minorHAnsi" w:cstheme="minorHAnsi"/>
                                  <w:sz w:val="14"/>
                                  <w:szCs w:val="14"/>
                                </w:rPr>
                              </w:pPr>
                              <w:r w:rsidRPr="00554BC6">
                                <w:rPr>
                                  <w:rFonts w:asciiTheme="minorHAnsi" w:eastAsia="Times New Roman" w:hAnsiTheme="minorHAnsi" w:cstheme="minorHAnsi"/>
                                  <w:color w:val="000000" w:themeColor="text1"/>
                                  <w:spacing w:val="2"/>
                                  <w:sz w:val="14"/>
                                  <w:szCs w:val="14"/>
                                  <w:lang w:val="en-US"/>
                                </w:rPr>
                                <w:t>The balance in the DEDJTR inter</w:t>
                              </w:r>
                              <w:r w:rsidRPr="00554BC6">
                                <w:rPr>
                                  <w:rFonts w:asciiTheme="minorHAnsi" w:eastAsia="Times New Roman" w:hAnsiTheme="minorHAnsi" w:cstheme="minorHAnsi"/>
                                  <w:color w:val="000000" w:themeColor="text1"/>
                                  <w:spacing w:val="2"/>
                                  <w:sz w:val="14"/>
                                  <w:szCs w:val="14"/>
                                  <w:lang w:val="en-US"/>
                                </w:rPr>
                                <w:noBreakHyphen/>
                                <w:t>entity account is invested in the DTF SAU, the DEDJTR profit and the SLV loss balance to zero upon consolidation in the Departmental financial statements.</w:t>
                              </w:r>
                            </w:p>
                          </w:txbxContent>
                        </wps:txbx>
                        <wps:bodyPr vert="horz" wrap="square" lIns="91440" tIns="45720" rIns="91440" bIns="45720" numCol="1" anchor="t" anchorCtr="0" compatLnSpc="1">
                          <a:prstTxWarp prst="textNoShape">
                            <a:avLst/>
                          </a:prstTxWarp>
                        </wps:bodyPr>
                      </wps:wsp>
                      <wps:wsp>
                        <wps:cNvPr id="19739" name="Rectangle 19739"/>
                        <wps:cNvSpPr>
                          <a:spLocks noChangeArrowheads="1"/>
                        </wps:cNvSpPr>
                        <wps:spPr bwMode="auto">
                          <a:xfrm>
                            <a:off x="0" y="152291"/>
                            <a:ext cx="1196192" cy="490725"/>
                          </a:xfrm>
                          <a:prstGeom prst="rect">
                            <a:avLst/>
                          </a:prstGeom>
                          <a:solidFill>
                            <a:srgbClr val="53565A"/>
                          </a:solidFill>
                          <a:ln w="9525">
                            <a:solidFill>
                              <a:srgbClr val="53565A"/>
                            </a:solidFill>
                            <a:miter lim="800000"/>
                            <a:headEnd/>
                            <a:tailEnd/>
                          </a:ln>
                        </wps:spPr>
                        <wps:txbx>
                          <w:txbxContent>
                            <w:p w14:paraId="035F74D2" w14:textId="77777777" w:rsidR="002536F9" w:rsidRPr="00554BC6" w:rsidRDefault="002536F9" w:rsidP="00554BC6">
                              <w:pPr>
                                <w:pStyle w:val="NormalWeb"/>
                                <w:spacing w:before="0" w:beforeAutospacing="0" w:after="0" w:afterAutospacing="0"/>
                                <w:jc w:val="center"/>
                                <w:textAlignment w:val="baseline"/>
                                <w:rPr>
                                  <w:rFonts w:asciiTheme="minorHAnsi" w:hAnsiTheme="minorHAnsi" w:cstheme="minorHAnsi"/>
                                  <w:color w:val="FFFFFF" w:themeColor="background1"/>
                                </w:rPr>
                              </w:pPr>
                              <w:r w:rsidRPr="00554BC6">
                                <w:rPr>
                                  <w:rFonts w:asciiTheme="minorHAnsi" w:eastAsia="Times New Roman" w:hAnsiTheme="minorHAnsi" w:cstheme="minorHAnsi"/>
                                  <w:b/>
                                  <w:bCs/>
                                  <w:color w:val="FFFFFF" w:themeColor="background1"/>
                                  <w:kern w:val="24"/>
                                  <w:lang w:val="en-US"/>
                                </w:rPr>
                                <w:t>SAU</w:t>
                              </w:r>
                              <w:r w:rsidRPr="00554BC6">
                                <w:rPr>
                                  <w:rFonts w:asciiTheme="minorHAnsi" w:eastAsia="Times New Roman" w:hAnsiTheme="minorHAnsi" w:cstheme="minorHAnsi"/>
                                  <w:b/>
                                  <w:bCs/>
                                  <w:color w:val="FFFFFF" w:themeColor="background1"/>
                                  <w:kern w:val="24"/>
                                  <w:lang w:val="en-US"/>
                                </w:rPr>
                                <w:br/>
                              </w:r>
                              <w:r w:rsidRPr="00554BC6">
                                <w:rPr>
                                  <w:rFonts w:asciiTheme="minorHAnsi" w:eastAsia="Times New Roman" w:hAnsiTheme="minorHAnsi" w:cstheme="minorHAnsi"/>
                                  <w:color w:val="FFFFFF" w:themeColor="background1"/>
                                  <w:kern w:val="24"/>
                                  <w:sz w:val="18"/>
                                  <w:szCs w:val="18"/>
                                  <w:lang w:val="en-US"/>
                                </w:rPr>
                                <w:t>Consolidated Fund</w:t>
                              </w:r>
                            </w:p>
                          </w:txbxContent>
                        </wps:txbx>
                        <wps:bodyPr vert="horz" wrap="square" lIns="91440" tIns="45720" rIns="91440" bIns="45720" numCol="1" anchor="ctr" anchorCtr="0" compatLnSpc="1">
                          <a:prstTxWarp prst="textNoShape">
                            <a:avLst/>
                          </a:prstTxWarp>
                        </wps:bodyPr>
                      </wps:wsp>
                      <wps:wsp>
                        <wps:cNvPr id="19740" name="Rectangle 19740"/>
                        <wps:cNvSpPr>
                          <a:spLocks noChangeArrowheads="1"/>
                        </wps:cNvSpPr>
                        <wps:spPr bwMode="auto">
                          <a:xfrm>
                            <a:off x="2339611" y="152291"/>
                            <a:ext cx="1081850" cy="482264"/>
                          </a:xfrm>
                          <a:prstGeom prst="rect">
                            <a:avLst/>
                          </a:prstGeom>
                          <a:solidFill>
                            <a:srgbClr val="53565A"/>
                          </a:solidFill>
                          <a:ln w="9525">
                            <a:solidFill>
                              <a:srgbClr val="53565A"/>
                            </a:solidFill>
                            <a:miter lim="800000"/>
                            <a:headEnd/>
                            <a:tailEnd/>
                          </a:ln>
                        </wps:spPr>
                        <wps:txbx>
                          <w:txbxContent>
                            <w:p w14:paraId="35390C57" w14:textId="77777777" w:rsidR="002536F9" w:rsidRPr="00554BC6" w:rsidRDefault="002536F9" w:rsidP="00554BC6">
                              <w:pPr>
                                <w:pStyle w:val="NormalWeb"/>
                                <w:spacing w:before="0" w:beforeAutospacing="0" w:after="0" w:afterAutospacing="0"/>
                                <w:jc w:val="center"/>
                                <w:textAlignment w:val="baseline"/>
                                <w:rPr>
                                  <w:rFonts w:asciiTheme="minorHAnsi" w:hAnsiTheme="minorHAnsi" w:cstheme="minorHAnsi"/>
                                  <w:color w:val="FFFFFF" w:themeColor="background1"/>
                                </w:rPr>
                              </w:pPr>
                              <w:r w:rsidRPr="00554BC6">
                                <w:rPr>
                                  <w:rFonts w:asciiTheme="minorHAnsi" w:eastAsia="Times New Roman" w:hAnsiTheme="minorHAnsi" w:cstheme="minorHAnsi"/>
                                  <w:b/>
                                  <w:bCs/>
                                  <w:color w:val="FFFFFF" w:themeColor="background1"/>
                                  <w:kern w:val="24"/>
                                  <w:lang w:val="en-US"/>
                                </w:rPr>
                                <w:t>DEDJTR</w:t>
                              </w:r>
                              <w:r w:rsidRPr="00554BC6">
                                <w:rPr>
                                  <w:rFonts w:asciiTheme="minorHAnsi" w:eastAsia="Times New Roman" w:hAnsiTheme="minorHAnsi" w:cstheme="minorHAnsi"/>
                                  <w:b/>
                                  <w:bCs/>
                                  <w:color w:val="FFFFFF" w:themeColor="background1"/>
                                  <w:kern w:val="24"/>
                                  <w:lang w:val="en-US"/>
                                </w:rPr>
                                <w:br/>
                              </w:r>
                              <w:r w:rsidRPr="00554BC6">
                                <w:rPr>
                                  <w:rFonts w:asciiTheme="minorHAnsi" w:eastAsia="Times New Roman" w:hAnsiTheme="minorHAnsi" w:cstheme="minorHAnsi"/>
                                  <w:color w:val="FFFFFF" w:themeColor="background1"/>
                                  <w:kern w:val="24"/>
                                  <w:sz w:val="18"/>
                                  <w:szCs w:val="18"/>
                                  <w:lang w:val="en-US"/>
                                </w:rPr>
                                <w:t>Creative Victoria</w:t>
                              </w:r>
                            </w:p>
                          </w:txbxContent>
                        </wps:txbx>
                        <wps:bodyPr vert="horz" wrap="square" lIns="91440" tIns="45720" rIns="91440" bIns="45720" numCol="1" anchor="ctr" anchorCtr="0" compatLnSpc="1">
                          <a:prstTxWarp prst="textNoShape">
                            <a:avLst/>
                          </a:prstTxWarp>
                        </wps:bodyPr>
                      </wps:wsp>
                      <wps:wsp>
                        <wps:cNvPr id="19741" name="Rectangle 19741"/>
                        <wps:cNvSpPr>
                          <a:spLocks noChangeArrowheads="1"/>
                        </wps:cNvSpPr>
                        <wps:spPr bwMode="auto">
                          <a:xfrm>
                            <a:off x="4564880" y="152291"/>
                            <a:ext cx="1199124" cy="482264"/>
                          </a:xfrm>
                          <a:prstGeom prst="rect">
                            <a:avLst/>
                          </a:prstGeom>
                          <a:solidFill>
                            <a:srgbClr val="53565A"/>
                          </a:solidFill>
                          <a:ln w="9525">
                            <a:solidFill>
                              <a:srgbClr val="53565A"/>
                            </a:solidFill>
                            <a:miter lim="800000"/>
                            <a:headEnd/>
                            <a:tailEnd/>
                          </a:ln>
                        </wps:spPr>
                        <wps:txbx>
                          <w:txbxContent>
                            <w:p w14:paraId="23A1FCF9" w14:textId="77777777" w:rsidR="002536F9" w:rsidRPr="00554BC6" w:rsidRDefault="002536F9" w:rsidP="00F027D8">
                              <w:pPr>
                                <w:pStyle w:val="NormalWeb"/>
                                <w:spacing w:before="0" w:beforeAutospacing="0" w:after="0" w:afterAutospacing="0"/>
                                <w:jc w:val="center"/>
                                <w:textAlignment w:val="baseline"/>
                                <w:rPr>
                                  <w:rFonts w:asciiTheme="minorHAnsi" w:hAnsiTheme="minorHAnsi" w:cstheme="minorHAnsi"/>
                                  <w:color w:val="FFFFFF" w:themeColor="background1"/>
                                </w:rPr>
                              </w:pPr>
                              <w:r w:rsidRPr="00554BC6">
                                <w:rPr>
                                  <w:rFonts w:asciiTheme="minorHAnsi" w:eastAsia="Times New Roman" w:hAnsiTheme="minorHAnsi" w:cstheme="minorHAnsi"/>
                                  <w:b/>
                                  <w:bCs/>
                                  <w:color w:val="FFFFFF" w:themeColor="background1"/>
                                  <w:kern w:val="24"/>
                                  <w:lang w:val="en-US"/>
                                </w:rPr>
                                <w:t>SLV</w:t>
                              </w:r>
                            </w:p>
                          </w:txbxContent>
                        </wps:txbx>
                        <wps:bodyPr vert="horz" wrap="square" lIns="91440" tIns="45720" rIns="91440" bIns="45720" numCol="1" anchor="ctr" anchorCtr="0" compatLnSpc="1">
                          <a:prstTxWarp prst="textNoShape">
                            <a:avLst/>
                          </a:prstTxWarp>
                        </wps:bodyPr>
                      </wps:wsp>
                      <wps:wsp>
                        <wps:cNvPr id="19742" name="Text Box 74"/>
                        <wps:cNvSpPr txBox="1">
                          <a:spLocks noChangeArrowheads="1"/>
                        </wps:cNvSpPr>
                        <wps:spPr bwMode="auto">
                          <a:xfrm>
                            <a:off x="1244177" y="16922"/>
                            <a:ext cx="1047447" cy="34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19687" w14:textId="77777777" w:rsidR="002536F9" w:rsidRPr="00554BC6" w:rsidRDefault="002536F9" w:rsidP="00F027D8">
                              <w:pPr>
                                <w:pStyle w:val="NormalWeb"/>
                                <w:spacing w:before="0" w:beforeAutospacing="0" w:after="0" w:afterAutospacing="0"/>
                                <w:jc w:val="center"/>
                                <w:textAlignment w:val="baseline"/>
                                <w:rPr>
                                  <w:rFonts w:asciiTheme="minorHAnsi" w:hAnsiTheme="minorHAnsi" w:cstheme="minorHAnsi"/>
                                  <w:sz w:val="12"/>
                                  <w:szCs w:val="12"/>
                                </w:rPr>
                              </w:pPr>
                              <w:r w:rsidRPr="00554BC6">
                                <w:rPr>
                                  <w:rFonts w:asciiTheme="minorHAnsi" w:eastAsia="Times New Roman" w:hAnsiTheme="minorHAnsi" w:cstheme="minorHAnsi"/>
                                  <w:color w:val="000000" w:themeColor="text1"/>
                                  <w:kern w:val="24"/>
                                  <w:sz w:val="12"/>
                                  <w:szCs w:val="12"/>
                                  <w:lang w:val="en-US"/>
                                </w:rPr>
                                <w:t xml:space="preserve">DEDJTR receives $100 revenue for delivery </w:t>
                              </w:r>
                              <w:r w:rsidRPr="00554BC6">
                                <w:rPr>
                                  <w:rFonts w:asciiTheme="minorHAnsi" w:eastAsia="Times New Roman" w:hAnsiTheme="minorHAnsi" w:cstheme="minorHAnsi"/>
                                  <w:color w:val="000000" w:themeColor="text1"/>
                                  <w:kern w:val="24"/>
                                  <w:sz w:val="12"/>
                                  <w:szCs w:val="12"/>
                                  <w:lang w:val="en-US"/>
                                </w:rPr>
                                <w:br/>
                                <w:t>of Library services</w:t>
                              </w:r>
                            </w:p>
                          </w:txbxContent>
                        </wps:txbx>
                        <wps:bodyPr vert="horz" wrap="square" lIns="91440" tIns="45720" rIns="91440" bIns="45720" numCol="1" anchor="t" anchorCtr="0" compatLnSpc="1">
                          <a:prstTxWarp prst="textNoShape">
                            <a:avLst/>
                          </a:prstTxWarp>
                        </wps:bodyPr>
                      </wps:wsp>
                      <wps:wsp>
                        <wps:cNvPr id="19743" name="Text Box 73"/>
                        <wps:cNvSpPr txBox="1">
                          <a:spLocks noChangeArrowheads="1"/>
                        </wps:cNvSpPr>
                        <wps:spPr bwMode="auto">
                          <a:xfrm>
                            <a:off x="3509409" y="0"/>
                            <a:ext cx="1004012" cy="358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741B9" w14:textId="77777777" w:rsidR="002536F9" w:rsidRPr="00554BC6" w:rsidRDefault="002536F9" w:rsidP="00F027D8">
                              <w:pPr>
                                <w:pStyle w:val="NormalWeb"/>
                                <w:spacing w:before="0" w:beforeAutospacing="0" w:after="0" w:afterAutospacing="0"/>
                                <w:jc w:val="center"/>
                                <w:textAlignment w:val="baseline"/>
                                <w:rPr>
                                  <w:rFonts w:asciiTheme="minorHAnsi" w:hAnsiTheme="minorHAnsi" w:cstheme="minorHAnsi"/>
                                  <w:sz w:val="12"/>
                                  <w:szCs w:val="12"/>
                                </w:rPr>
                              </w:pPr>
                              <w:r w:rsidRPr="00554BC6">
                                <w:rPr>
                                  <w:rFonts w:asciiTheme="minorHAnsi" w:eastAsia="Times New Roman" w:hAnsiTheme="minorHAnsi" w:cstheme="minorHAnsi"/>
                                  <w:color w:val="000000" w:themeColor="text1"/>
                                  <w:kern w:val="24"/>
                                  <w:sz w:val="12"/>
                                  <w:szCs w:val="12"/>
                                  <w:lang w:val="en-US"/>
                                </w:rPr>
                                <w:t xml:space="preserve">DEDJTR expenses $90 </w:t>
                              </w:r>
                              <w:r w:rsidRPr="00554BC6">
                                <w:rPr>
                                  <w:rFonts w:asciiTheme="minorHAnsi" w:eastAsia="Times New Roman" w:hAnsiTheme="minorHAnsi" w:cstheme="minorHAnsi"/>
                                  <w:color w:val="000000" w:themeColor="text1"/>
                                  <w:kern w:val="24"/>
                                  <w:sz w:val="12"/>
                                  <w:szCs w:val="12"/>
                                  <w:lang w:val="en-US"/>
                                </w:rPr>
                                <w:br/>
                                <w:t xml:space="preserve">which is passed on in </w:t>
                              </w:r>
                              <w:r w:rsidRPr="00554BC6">
                                <w:rPr>
                                  <w:rFonts w:asciiTheme="minorHAnsi" w:eastAsia="Times New Roman" w:hAnsiTheme="minorHAnsi" w:cstheme="minorHAnsi"/>
                                  <w:color w:val="000000" w:themeColor="text1"/>
                                  <w:kern w:val="24"/>
                                  <w:sz w:val="12"/>
                                  <w:szCs w:val="12"/>
                                  <w:lang w:val="en-US"/>
                                </w:rPr>
                                <w:br/>
                                <w:t>grant to SLV</w:t>
                              </w:r>
                            </w:p>
                          </w:txbxContent>
                        </wps:txbx>
                        <wps:bodyPr vert="horz" wrap="square" lIns="91440" tIns="45720" rIns="91440" bIns="45720" numCol="1" anchor="t" anchorCtr="0" compatLnSpc="1">
                          <a:prstTxWarp prst="textNoShape">
                            <a:avLst/>
                          </a:prstTxWarp>
                        </wps:bodyPr>
                      </wps:wsp>
                      <wps:wsp>
                        <wps:cNvPr id="19488" name="Rectangle 19488"/>
                        <wps:cNvSpPr>
                          <a:spLocks noChangeArrowheads="1"/>
                        </wps:cNvSpPr>
                        <wps:spPr bwMode="auto">
                          <a:xfrm>
                            <a:off x="1257761" y="1717535"/>
                            <a:ext cx="1081850" cy="482264"/>
                          </a:xfrm>
                          <a:prstGeom prst="rect">
                            <a:avLst/>
                          </a:prstGeom>
                          <a:solidFill>
                            <a:srgbClr val="D9D9D6"/>
                          </a:solidFill>
                          <a:ln w="9525">
                            <a:solidFill>
                              <a:srgbClr val="D9D9D6"/>
                            </a:solidFill>
                            <a:miter lim="800000"/>
                            <a:headEnd/>
                            <a:tailEnd/>
                          </a:ln>
                        </wps:spPr>
                        <wps:txbx>
                          <w:txbxContent>
                            <w:p w14:paraId="4FA50BE8" w14:textId="77777777" w:rsidR="002536F9" w:rsidRPr="00554BC6" w:rsidRDefault="002536F9" w:rsidP="00554BC6">
                              <w:pPr>
                                <w:pStyle w:val="NormalWeb"/>
                                <w:spacing w:before="0" w:beforeAutospacing="0" w:after="0" w:afterAutospacing="0"/>
                                <w:jc w:val="center"/>
                                <w:textAlignment w:val="baseline"/>
                                <w:rPr>
                                  <w:rFonts w:asciiTheme="minorHAnsi" w:hAnsiTheme="minorHAnsi" w:cstheme="minorHAnsi"/>
                                  <w:sz w:val="16"/>
                                  <w:szCs w:val="16"/>
                                </w:rPr>
                              </w:pPr>
                              <w:r w:rsidRPr="00554BC6">
                                <w:rPr>
                                  <w:rFonts w:asciiTheme="minorHAnsi" w:eastAsia="Times New Roman" w:hAnsiTheme="minorHAnsi" w:cstheme="minorHAnsi"/>
                                  <w:b/>
                                  <w:bCs/>
                                  <w:color w:val="000000" w:themeColor="text1"/>
                                  <w:kern w:val="24"/>
                                  <w:lang w:val="en-US"/>
                                </w:rPr>
                                <w:t>DEDJTR</w:t>
                              </w:r>
                              <w:r w:rsidRPr="00554BC6">
                                <w:rPr>
                                  <w:rFonts w:asciiTheme="minorHAnsi" w:eastAsia="Times New Roman" w:hAnsiTheme="minorHAnsi" w:cstheme="minorHAnsi"/>
                                  <w:b/>
                                  <w:bCs/>
                                  <w:color w:val="000000" w:themeColor="text1"/>
                                  <w:kern w:val="24"/>
                                  <w:lang w:val="en-US"/>
                                </w:rPr>
                                <w:br/>
                              </w:r>
                              <w:r w:rsidRPr="00554BC6">
                                <w:rPr>
                                  <w:rFonts w:asciiTheme="minorHAnsi" w:eastAsia="Times New Roman" w:hAnsiTheme="minorHAnsi" w:cstheme="minorHAnsi"/>
                                  <w:color w:val="000000" w:themeColor="text1"/>
                                  <w:kern w:val="24"/>
                                  <w:sz w:val="16"/>
                                  <w:szCs w:val="16"/>
                                  <w:lang w:val="en-US"/>
                                </w:rPr>
                                <w:t>Inter</w:t>
                              </w:r>
                              <w:r w:rsidRPr="00554BC6">
                                <w:rPr>
                                  <w:rFonts w:asciiTheme="minorHAnsi" w:eastAsia="Times New Roman" w:hAnsiTheme="minorHAnsi" w:cstheme="minorHAnsi"/>
                                  <w:color w:val="000000" w:themeColor="text1"/>
                                  <w:kern w:val="24"/>
                                  <w:sz w:val="16"/>
                                  <w:szCs w:val="16"/>
                                  <w:lang w:val="en-US"/>
                                </w:rPr>
                                <w:noBreakHyphen/>
                                <w:t>entity SAU</w:t>
                              </w:r>
                            </w:p>
                          </w:txbxContent>
                        </wps:txbx>
                        <wps:bodyPr vert="horz" wrap="square" lIns="91440" tIns="45720" rIns="91440" bIns="45720" numCol="1" anchor="ctr" anchorCtr="0" compatLnSpc="1">
                          <a:prstTxWarp prst="textNoShape">
                            <a:avLst/>
                          </a:prstTxWarp>
                        </wps:bodyPr>
                      </wps:wsp>
                      <wps:wsp>
                        <wps:cNvPr id="19489" name="Rectangle 19489"/>
                        <wps:cNvSpPr>
                          <a:spLocks noChangeArrowheads="1"/>
                        </wps:cNvSpPr>
                        <wps:spPr bwMode="auto">
                          <a:xfrm>
                            <a:off x="598096" y="651476"/>
                            <a:ext cx="598096" cy="399722"/>
                          </a:xfrm>
                          <a:prstGeom prst="rect">
                            <a:avLst/>
                          </a:prstGeom>
                          <a:solidFill>
                            <a:srgbClr val="749CC9"/>
                          </a:solidFill>
                          <a:ln w="9525">
                            <a:solidFill>
                              <a:srgbClr val="749CC9"/>
                            </a:solidFill>
                            <a:miter lim="800000"/>
                            <a:headEnd/>
                            <a:tailEnd/>
                          </a:ln>
                        </wps:spPr>
                        <wps:txbx>
                          <w:txbxContent>
                            <w:p w14:paraId="22642CFF" w14:textId="77777777" w:rsidR="002536F9" w:rsidRPr="00554BC6" w:rsidRDefault="002536F9" w:rsidP="00554BC6">
                              <w:pPr>
                                <w:pStyle w:val="NormalWeb"/>
                                <w:spacing w:before="0" w:beforeAutospacing="0" w:after="0" w:afterAutospacing="0"/>
                                <w:jc w:val="center"/>
                                <w:textAlignment w:val="baseline"/>
                                <w:rPr>
                                  <w:rFonts w:asciiTheme="minorHAnsi" w:hAnsiTheme="minorHAnsi" w:cstheme="minorHAnsi"/>
                                  <w:color w:val="FFFFFF" w:themeColor="background1"/>
                                  <w:sz w:val="15"/>
                                  <w:szCs w:val="15"/>
                                </w:rPr>
                              </w:pPr>
                              <w:r w:rsidRPr="00554BC6">
                                <w:rPr>
                                  <w:rFonts w:asciiTheme="minorHAnsi" w:eastAsia="Times New Roman" w:hAnsiTheme="minorHAnsi" w:cstheme="minorHAnsi"/>
                                  <w:color w:val="FFFFFF" w:themeColor="background1"/>
                                  <w:kern w:val="24"/>
                                  <w:sz w:val="15"/>
                                  <w:szCs w:val="15"/>
                                  <w:lang w:val="en-US"/>
                                </w:rPr>
                                <w:t>DTF</w:t>
                              </w:r>
                              <w:r w:rsidRPr="00554BC6">
                                <w:rPr>
                                  <w:rFonts w:asciiTheme="minorHAnsi" w:eastAsia="Times New Roman" w:hAnsiTheme="minorHAnsi" w:cstheme="minorHAnsi"/>
                                  <w:color w:val="FFFFFF" w:themeColor="background1"/>
                                  <w:kern w:val="24"/>
                                  <w:sz w:val="15"/>
                                  <w:szCs w:val="15"/>
                                  <w:lang w:val="en-US"/>
                                </w:rPr>
                                <w:br/>
                                <w:t>liability</w:t>
                              </w:r>
                            </w:p>
                          </w:txbxContent>
                        </wps:txbx>
                        <wps:bodyPr vert="horz" wrap="square" lIns="36000" tIns="45720" rIns="36000" bIns="45720" numCol="1" anchor="ctr" anchorCtr="0" compatLnSpc="1">
                          <a:prstTxWarp prst="textNoShape">
                            <a:avLst/>
                          </a:prstTxWarp>
                        </wps:bodyPr>
                      </wps:wsp>
                      <wps:wsp>
                        <wps:cNvPr id="19490" name="Rectangle 19490"/>
                        <wps:cNvSpPr>
                          <a:spLocks noChangeArrowheads="1"/>
                        </wps:cNvSpPr>
                        <wps:spPr bwMode="auto">
                          <a:xfrm>
                            <a:off x="2339611" y="648657"/>
                            <a:ext cx="791598" cy="399722"/>
                          </a:xfrm>
                          <a:prstGeom prst="rect">
                            <a:avLst/>
                          </a:prstGeom>
                          <a:solidFill>
                            <a:srgbClr val="D9D9D6"/>
                          </a:solidFill>
                          <a:ln w="9525">
                            <a:solidFill>
                              <a:srgbClr val="D9D9D6"/>
                            </a:solidFill>
                            <a:miter lim="800000"/>
                            <a:headEnd/>
                            <a:tailEnd/>
                          </a:ln>
                        </wps:spPr>
                        <wps:txbx>
                          <w:txbxContent>
                            <w:p w14:paraId="593FE0BA" w14:textId="77777777" w:rsidR="002536F9" w:rsidRPr="00554BC6" w:rsidRDefault="002536F9" w:rsidP="00554BC6">
                              <w:pPr>
                                <w:pStyle w:val="NormalWeb"/>
                                <w:spacing w:before="0" w:beforeAutospacing="0" w:after="0" w:afterAutospacing="0"/>
                                <w:jc w:val="center"/>
                                <w:textAlignment w:val="baseline"/>
                                <w:rPr>
                                  <w:rFonts w:asciiTheme="minorHAnsi" w:hAnsiTheme="minorHAnsi" w:cstheme="minorHAnsi"/>
                                  <w:b/>
                                  <w:bCs/>
                                  <w:color w:val="000000" w:themeColor="text1"/>
                                  <w:kern w:val="24"/>
                                  <w:sz w:val="15"/>
                                  <w:szCs w:val="15"/>
                                </w:rPr>
                              </w:pPr>
                              <w:r w:rsidRPr="00554BC6">
                                <w:rPr>
                                  <w:rFonts w:asciiTheme="minorHAnsi" w:eastAsia="Times New Roman" w:hAnsiTheme="minorHAnsi" w:cstheme="minorHAnsi"/>
                                  <w:b/>
                                  <w:bCs/>
                                  <w:color w:val="000000" w:themeColor="text1"/>
                                  <w:kern w:val="24"/>
                                  <w:sz w:val="15"/>
                                  <w:szCs w:val="15"/>
                                  <w:lang w:val="en-US"/>
                                </w:rPr>
                                <w:t>DEDJTR</w:t>
                              </w:r>
                              <w:r>
                                <w:rPr>
                                  <w:rFonts w:asciiTheme="minorHAnsi" w:eastAsia="Times New Roman" w:hAnsiTheme="minorHAnsi" w:cstheme="minorHAnsi"/>
                                  <w:b/>
                                  <w:bCs/>
                                  <w:color w:val="000000" w:themeColor="text1"/>
                                  <w:kern w:val="24"/>
                                  <w:sz w:val="15"/>
                                  <w:szCs w:val="15"/>
                                  <w:lang w:val="en-US"/>
                                </w:rPr>
                                <w:br/>
                              </w:r>
                              <w:r w:rsidRPr="00554BC6">
                                <w:rPr>
                                  <w:rFonts w:asciiTheme="minorHAnsi" w:eastAsia="Times New Roman" w:hAnsiTheme="minorHAnsi" w:cstheme="minorHAnsi"/>
                                  <w:b/>
                                  <w:bCs/>
                                  <w:color w:val="000000" w:themeColor="text1"/>
                                  <w:kern w:val="24"/>
                                  <w:sz w:val="15"/>
                                  <w:szCs w:val="15"/>
                                  <w:lang w:val="en-US"/>
                                </w:rPr>
                                <w:t>profit/asset</w:t>
                              </w:r>
                            </w:p>
                          </w:txbxContent>
                        </wps:txbx>
                        <wps:bodyPr vert="horz" wrap="square" lIns="36000" tIns="45720" rIns="36000" bIns="45720" numCol="1" anchor="ctr" anchorCtr="0" compatLnSpc="1">
                          <a:prstTxWarp prst="textNoShape">
                            <a:avLst/>
                          </a:prstTxWarp>
                        </wps:bodyPr>
                      </wps:wsp>
                      <wps:wsp>
                        <wps:cNvPr id="19491" name="Rectangle 19491"/>
                        <wps:cNvSpPr>
                          <a:spLocks noChangeArrowheads="1"/>
                        </wps:cNvSpPr>
                        <wps:spPr bwMode="auto">
                          <a:xfrm>
                            <a:off x="4564880" y="643015"/>
                            <a:ext cx="598096" cy="399722"/>
                          </a:xfrm>
                          <a:prstGeom prst="rect">
                            <a:avLst/>
                          </a:prstGeom>
                          <a:solidFill>
                            <a:srgbClr val="D9D9D6"/>
                          </a:solidFill>
                          <a:ln w="9525">
                            <a:solidFill>
                              <a:srgbClr val="D9D9D6"/>
                            </a:solidFill>
                            <a:miter lim="800000"/>
                            <a:headEnd/>
                            <a:tailEnd/>
                          </a:ln>
                        </wps:spPr>
                        <wps:txbx>
                          <w:txbxContent>
                            <w:p w14:paraId="5F5AA906" w14:textId="77777777" w:rsidR="002536F9" w:rsidRPr="00554BC6" w:rsidRDefault="002536F9" w:rsidP="00554BC6">
                              <w:pPr>
                                <w:pStyle w:val="NormalWeb"/>
                                <w:spacing w:before="0" w:beforeAutospacing="0" w:after="0" w:afterAutospacing="0"/>
                                <w:jc w:val="center"/>
                                <w:textAlignment w:val="baseline"/>
                                <w:rPr>
                                  <w:rFonts w:asciiTheme="minorHAnsi" w:hAnsiTheme="minorHAnsi" w:cstheme="minorHAnsi"/>
                                  <w:b/>
                                  <w:bCs/>
                                  <w:color w:val="000000" w:themeColor="text1"/>
                                  <w:kern w:val="24"/>
                                  <w:sz w:val="15"/>
                                  <w:szCs w:val="15"/>
                                </w:rPr>
                              </w:pPr>
                              <w:r w:rsidRPr="00554BC6">
                                <w:rPr>
                                  <w:rFonts w:asciiTheme="minorHAnsi" w:eastAsia="Times New Roman" w:hAnsiTheme="minorHAnsi" w:cstheme="minorHAnsi"/>
                                  <w:b/>
                                  <w:bCs/>
                                  <w:color w:val="000000" w:themeColor="text1"/>
                                  <w:kern w:val="24"/>
                                  <w:sz w:val="15"/>
                                  <w:szCs w:val="15"/>
                                  <w:lang w:val="en-US"/>
                                </w:rPr>
                                <w:t>SLV</w:t>
                              </w:r>
                              <w:r w:rsidRPr="00554BC6">
                                <w:rPr>
                                  <w:rFonts w:asciiTheme="minorHAnsi" w:eastAsia="Times New Roman" w:hAnsiTheme="minorHAnsi" w:cstheme="minorHAnsi"/>
                                  <w:b/>
                                  <w:bCs/>
                                  <w:color w:val="000000" w:themeColor="text1"/>
                                  <w:kern w:val="24"/>
                                  <w:sz w:val="15"/>
                                  <w:szCs w:val="15"/>
                                  <w:lang w:val="en-US"/>
                                </w:rPr>
                                <w:br/>
                                <w:t>loss/asset</w:t>
                              </w:r>
                            </w:p>
                          </w:txbxContent>
                        </wps:txbx>
                        <wps:bodyPr vert="horz" wrap="square" lIns="36000" tIns="45720" rIns="36000" bIns="45720" numCol="1" anchor="ctr" anchorCtr="0" compatLnSpc="1">
                          <a:prstTxWarp prst="textNoShape">
                            <a:avLst/>
                          </a:prstTxWarp>
                        </wps:bodyPr>
                      </wps:wsp>
                      <wps:wsp>
                        <wps:cNvPr id="19492" name="Rectangle 19492"/>
                        <wps:cNvSpPr>
                          <a:spLocks noChangeArrowheads="1"/>
                        </wps:cNvSpPr>
                        <wps:spPr bwMode="auto">
                          <a:xfrm>
                            <a:off x="5162976" y="643015"/>
                            <a:ext cx="598096" cy="399722"/>
                          </a:xfrm>
                          <a:prstGeom prst="rect">
                            <a:avLst/>
                          </a:prstGeom>
                          <a:solidFill>
                            <a:srgbClr val="749CC9"/>
                          </a:solidFill>
                          <a:ln w="9525">
                            <a:solidFill>
                              <a:srgbClr val="749CC9"/>
                            </a:solidFill>
                            <a:miter lim="800000"/>
                            <a:headEnd/>
                            <a:tailEnd/>
                          </a:ln>
                        </wps:spPr>
                        <wps:txbx>
                          <w:txbxContent>
                            <w:p w14:paraId="5E54CFEB" w14:textId="77777777" w:rsidR="002536F9" w:rsidRPr="00554BC6" w:rsidRDefault="002536F9" w:rsidP="00554BC6">
                              <w:pPr>
                                <w:pStyle w:val="NormalWeb"/>
                                <w:spacing w:before="0" w:beforeAutospacing="0" w:after="0" w:afterAutospacing="0"/>
                                <w:jc w:val="center"/>
                                <w:textAlignment w:val="baseline"/>
                                <w:rPr>
                                  <w:rFonts w:asciiTheme="minorHAnsi" w:hAnsiTheme="minorHAnsi" w:cstheme="minorHAnsi"/>
                                  <w:b/>
                                  <w:bCs/>
                                  <w:color w:val="FFFFFF" w:themeColor="background1"/>
                                  <w:kern w:val="24"/>
                                  <w:sz w:val="15"/>
                                  <w:szCs w:val="15"/>
                                </w:rPr>
                              </w:pPr>
                              <w:r w:rsidRPr="00554BC6">
                                <w:rPr>
                                  <w:rFonts w:asciiTheme="minorHAnsi" w:eastAsia="Times New Roman" w:hAnsiTheme="minorHAnsi" w:cstheme="minorHAnsi"/>
                                  <w:color w:val="FFFFFF" w:themeColor="background1"/>
                                  <w:kern w:val="24"/>
                                  <w:sz w:val="15"/>
                                  <w:szCs w:val="15"/>
                                  <w:lang w:val="en-US"/>
                                </w:rPr>
                                <w:t xml:space="preserve">SLV </w:t>
                              </w:r>
                              <w:r w:rsidRPr="00554BC6">
                                <w:rPr>
                                  <w:rFonts w:asciiTheme="minorHAnsi" w:eastAsia="Times New Roman" w:hAnsiTheme="minorHAnsi" w:cstheme="minorHAnsi"/>
                                  <w:color w:val="FFFFFF" w:themeColor="background1"/>
                                  <w:kern w:val="24"/>
                                  <w:sz w:val="15"/>
                                  <w:szCs w:val="15"/>
                                  <w:lang w:val="en-US"/>
                                </w:rPr>
                                <w:br/>
                                <w:t>liability</w:t>
                              </w:r>
                            </w:p>
                          </w:txbxContent>
                        </wps:txbx>
                        <wps:bodyPr vert="horz" wrap="square" lIns="36000" tIns="45720" rIns="36000" bIns="45720" numCol="1" anchor="ctr" anchorCtr="0" compatLnSpc="1">
                          <a:prstTxWarp prst="textNoShape">
                            <a:avLst/>
                          </a:prstTxWarp>
                        </wps:bodyPr>
                      </wps:wsp>
                      <wps:wsp>
                        <wps:cNvPr id="19493" name="Text Box 63"/>
                        <wps:cNvSpPr txBox="1">
                          <a:spLocks noChangeArrowheads="1"/>
                        </wps:cNvSpPr>
                        <wps:spPr bwMode="auto">
                          <a:xfrm>
                            <a:off x="572296" y="1294214"/>
                            <a:ext cx="619792" cy="282590"/>
                          </a:xfrm>
                          <a:prstGeom prst="rect">
                            <a:avLst/>
                          </a:prstGeom>
                          <a:solidFill>
                            <a:sysClr val="window" lastClr="FFFFFF"/>
                          </a:solidFill>
                          <a:ln>
                            <a:noFill/>
                          </a:ln>
                          <a:extLst/>
                        </wps:spPr>
                        <wps:txbx>
                          <w:txbxContent>
                            <w:p w14:paraId="41180823" w14:textId="77777777" w:rsidR="002536F9" w:rsidRPr="00554BC6" w:rsidRDefault="002536F9" w:rsidP="00F027D8">
                              <w:pPr>
                                <w:pStyle w:val="NormalWeb"/>
                                <w:tabs>
                                  <w:tab w:val="right" w:pos="1800"/>
                                </w:tabs>
                                <w:spacing w:before="0" w:beforeAutospacing="0" w:after="0" w:afterAutospacing="0"/>
                                <w:jc w:val="center"/>
                                <w:textAlignment w:val="baseline"/>
                                <w:rPr>
                                  <w:rFonts w:asciiTheme="minorHAnsi" w:hAnsiTheme="minorHAnsi" w:cstheme="minorHAnsi"/>
                                  <w:sz w:val="12"/>
                                  <w:szCs w:val="12"/>
                                </w:rPr>
                              </w:pPr>
                              <w:r w:rsidRPr="00554BC6">
                                <w:rPr>
                                  <w:rFonts w:asciiTheme="minorHAnsi" w:eastAsia="Times New Roman" w:hAnsiTheme="minorHAnsi" w:cstheme="minorHAnsi"/>
                                  <w:color w:val="000000" w:themeColor="text1"/>
                                  <w:kern w:val="24"/>
                                  <w:sz w:val="12"/>
                                  <w:szCs w:val="12"/>
                                  <w:lang w:val="en-US"/>
                                </w:rPr>
                                <w:t>$10 invested</w:t>
                              </w:r>
                              <w:r w:rsidRPr="00554BC6">
                                <w:rPr>
                                  <w:rFonts w:asciiTheme="minorHAnsi" w:eastAsia="Times New Roman" w:hAnsiTheme="minorHAnsi" w:cstheme="minorHAnsi"/>
                                  <w:color w:val="000000" w:themeColor="text1"/>
                                  <w:kern w:val="24"/>
                                  <w:sz w:val="12"/>
                                  <w:szCs w:val="12"/>
                                  <w:lang w:val="en-US"/>
                                </w:rPr>
                                <w:br/>
                                <w:t>in SAU</w:t>
                              </w:r>
                            </w:p>
                          </w:txbxContent>
                        </wps:txbx>
                        <wps:bodyPr vert="horz" wrap="square" lIns="91440" tIns="45720" rIns="91440" bIns="45720" numCol="1" anchor="t" anchorCtr="0" compatLnSpc="1">
                          <a:prstTxWarp prst="textNoShape">
                            <a:avLst/>
                          </a:prstTxWarp>
                        </wps:bodyPr>
                      </wps:wsp>
                      <wps:wsp>
                        <wps:cNvPr id="19494" name="Text Box 62"/>
                        <wps:cNvSpPr txBox="1">
                          <a:spLocks noChangeArrowheads="1"/>
                        </wps:cNvSpPr>
                        <wps:spPr bwMode="auto">
                          <a:xfrm>
                            <a:off x="2331009" y="1263473"/>
                            <a:ext cx="817983" cy="344071"/>
                          </a:xfrm>
                          <a:prstGeom prst="rect">
                            <a:avLst/>
                          </a:prstGeom>
                          <a:solidFill>
                            <a:sysClr val="window" lastClr="FFFFFF"/>
                          </a:solidFill>
                          <a:ln>
                            <a:noFill/>
                          </a:ln>
                          <a:extLst/>
                        </wps:spPr>
                        <wps:txbx>
                          <w:txbxContent>
                            <w:p w14:paraId="711F63DC" w14:textId="77777777" w:rsidR="002536F9" w:rsidRPr="00554BC6" w:rsidRDefault="002536F9" w:rsidP="00F027D8">
                              <w:pPr>
                                <w:pStyle w:val="NormalWeb"/>
                                <w:tabs>
                                  <w:tab w:val="right" w:pos="1800"/>
                                </w:tabs>
                                <w:spacing w:before="0" w:beforeAutospacing="0" w:after="0" w:afterAutospacing="0"/>
                                <w:jc w:val="center"/>
                                <w:textAlignment w:val="baseline"/>
                                <w:rPr>
                                  <w:rFonts w:asciiTheme="minorHAnsi" w:hAnsiTheme="minorHAnsi" w:cstheme="minorHAnsi"/>
                                  <w:sz w:val="12"/>
                                  <w:szCs w:val="12"/>
                                </w:rPr>
                              </w:pPr>
                              <w:r w:rsidRPr="00554BC6">
                                <w:rPr>
                                  <w:rFonts w:asciiTheme="minorHAnsi" w:eastAsia="Times New Roman" w:hAnsiTheme="minorHAnsi" w:cstheme="minorHAnsi"/>
                                  <w:color w:val="000000" w:themeColor="text1"/>
                                  <w:kern w:val="24"/>
                                  <w:sz w:val="12"/>
                                  <w:szCs w:val="12"/>
                                  <w:lang w:val="en-US"/>
                                </w:rPr>
                                <w:t>DEDJTR deposits $10 in inter</w:t>
                              </w:r>
                              <w:r w:rsidRPr="00554BC6">
                                <w:rPr>
                                  <w:rFonts w:asciiTheme="minorHAnsi" w:eastAsia="Times New Roman" w:hAnsiTheme="minorHAnsi" w:cstheme="minorHAnsi"/>
                                  <w:color w:val="000000" w:themeColor="text1"/>
                                  <w:kern w:val="24"/>
                                  <w:sz w:val="12"/>
                                  <w:szCs w:val="12"/>
                                  <w:lang w:val="en-US"/>
                                </w:rPr>
                                <w:noBreakHyphen/>
                                <w:t>entity account</w:t>
                              </w:r>
                            </w:p>
                          </w:txbxContent>
                        </wps:txbx>
                        <wps:bodyPr vert="horz" wrap="square" lIns="91440" tIns="45720" rIns="91440" bIns="45720" numCol="1" anchor="t" anchorCtr="0" compatLnSpc="1">
                          <a:prstTxWarp prst="textNoShape">
                            <a:avLst/>
                          </a:prstTxWarp>
                        </wps:bodyPr>
                      </wps:wsp>
                      <wps:wsp>
                        <wps:cNvPr id="19495" name="Text Box 61"/>
                        <wps:cNvSpPr txBox="1">
                          <a:spLocks noChangeArrowheads="1"/>
                        </wps:cNvSpPr>
                        <wps:spPr bwMode="auto">
                          <a:xfrm>
                            <a:off x="3392699" y="654297"/>
                            <a:ext cx="953053" cy="536323"/>
                          </a:xfrm>
                          <a:prstGeom prst="rect">
                            <a:avLst/>
                          </a:prstGeom>
                          <a:solidFill>
                            <a:sysClr val="window" lastClr="FFFFFF"/>
                          </a:solidFill>
                          <a:ln>
                            <a:noFill/>
                          </a:ln>
                          <a:extLst/>
                        </wps:spPr>
                        <wps:txbx>
                          <w:txbxContent>
                            <w:p w14:paraId="27257DD3" w14:textId="77777777" w:rsidR="002536F9" w:rsidRPr="00554BC6" w:rsidRDefault="002536F9" w:rsidP="00F027D8">
                              <w:pPr>
                                <w:pStyle w:val="NormalWeb"/>
                                <w:spacing w:before="0" w:beforeAutospacing="0" w:after="0" w:afterAutospacing="0"/>
                                <w:jc w:val="center"/>
                                <w:textAlignment w:val="baseline"/>
                                <w:rPr>
                                  <w:rFonts w:asciiTheme="minorHAnsi" w:hAnsiTheme="minorHAnsi" w:cstheme="minorHAnsi"/>
                                  <w:sz w:val="12"/>
                                  <w:szCs w:val="12"/>
                                </w:rPr>
                              </w:pPr>
                              <w:r w:rsidRPr="00554BC6">
                                <w:rPr>
                                  <w:rFonts w:asciiTheme="minorHAnsi" w:eastAsia="Times New Roman" w:hAnsiTheme="minorHAnsi" w:cstheme="minorHAnsi"/>
                                  <w:color w:val="000000" w:themeColor="text1"/>
                                  <w:kern w:val="24"/>
                                  <w:sz w:val="12"/>
                                  <w:szCs w:val="12"/>
                                  <w:lang w:val="en-US"/>
                                </w:rPr>
                                <w:t xml:space="preserve">The DEDJTR profit and </w:t>
                              </w:r>
                              <w:r w:rsidRPr="00554BC6">
                                <w:rPr>
                                  <w:rFonts w:asciiTheme="minorHAnsi" w:eastAsia="Times New Roman" w:hAnsiTheme="minorHAnsi" w:cstheme="minorHAnsi"/>
                                  <w:color w:val="000000" w:themeColor="text1"/>
                                  <w:kern w:val="24"/>
                                  <w:sz w:val="12"/>
                                  <w:szCs w:val="12"/>
                                  <w:lang w:val="en-US"/>
                                </w:rPr>
                                <w:br/>
                                <w:t xml:space="preserve">the SLV loss balance to zero upon consolidation </w:t>
                              </w:r>
                              <w:r w:rsidRPr="00554BC6">
                                <w:rPr>
                                  <w:rFonts w:asciiTheme="minorHAnsi" w:eastAsia="Times New Roman" w:hAnsiTheme="minorHAnsi" w:cstheme="minorHAnsi"/>
                                  <w:color w:val="000000" w:themeColor="text1"/>
                                  <w:kern w:val="24"/>
                                  <w:sz w:val="12"/>
                                  <w:szCs w:val="12"/>
                                  <w:lang w:val="en-US"/>
                                </w:rPr>
                                <w:br/>
                                <w:t xml:space="preserve">in the Departmental </w:t>
                              </w:r>
                              <w:r w:rsidRPr="00554BC6">
                                <w:rPr>
                                  <w:rFonts w:asciiTheme="minorHAnsi" w:eastAsia="Times New Roman" w:hAnsiTheme="minorHAnsi" w:cstheme="minorHAnsi"/>
                                  <w:color w:val="000000" w:themeColor="text1"/>
                                  <w:kern w:val="24"/>
                                  <w:sz w:val="12"/>
                                  <w:szCs w:val="12"/>
                                  <w:lang w:val="en-US"/>
                                </w:rPr>
                                <w:br/>
                                <w:t>financial statements</w:t>
                              </w:r>
                            </w:p>
                          </w:txbxContent>
                        </wps:txbx>
                        <wps:bodyPr vert="horz" wrap="square" lIns="36000" tIns="36000" rIns="36000" bIns="36000" numCol="1" anchor="t" anchorCtr="0" compatLnSpc="1">
                          <a:prstTxWarp prst="textNoShape">
                            <a:avLst/>
                          </a:prstTxWarp>
                        </wps:bodyPr>
                      </wps:wsp>
                      <wps:wsp>
                        <wps:cNvPr id="19496" name="Straight Connector 19496"/>
                        <wps:cNvCnPr>
                          <a:stCxn id="19739" idx="3"/>
                          <a:endCxn id="19740" idx="1"/>
                        </wps:cNvCnPr>
                        <wps:spPr>
                          <a:xfrm flipV="1">
                            <a:off x="1196192" y="393424"/>
                            <a:ext cx="1143419" cy="4230"/>
                          </a:xfrm>
                          <a:prstGeom prst="line">
                            <a:avLst/>
                          </a:prstGeom>
                          <a:noFill/>
                          <a:ln w="9525" cap="flat" cmpd="sng" algn="ctr">
                            <a:solidFill>
                              <a:sysClr val="windowText" lastClr="000000"/>
                            </a:solidFill>
                            <a:prstDash val="solid"/>
                            <a:tailEnd type="stealth" w="med" len="lg"/>
                          </a:ln>
                          <a:effectLst/>
                        </wps:spPr>
                        <wps:bodyPr/>
                      </wps:wsp>
                      <wps:wsp>
                        <wps:cNvPr id="19497" name="Straight Connector 19497"/>
                        <wps:cNvCnPr>
                          <a:stCxn id="19740" idx="3"/>
                          <a:endCxn id="19741" idx="1"/>
                        </wps:cNvCnPr>
                        <wps:spPr>
                          <a:xfrm>
                            <a:off x="3421461" y="393424"/>
                            <a:ext cx="1143419" cy="0"/>
                          </a:xfrm>
                          <a:prstGeom prst="line">
                            <a:avLst/>
                          </a:prstGeom>
                          <a:noFill/>
                          <a:ln w="9525" cap="flat" cmpd="sng" algn="ctr">
                            <a:solidFill>
                              <a:sysClr val="windowText" lastClr="000000"/>
                            </a:solidFill>
                            <a:prstDash val="solid"/>
                            <a:tailEnd type="stealth" w="med" len="lg"/>
                          </a:ln>
                          <a:effectLst/>
                        </wps:spPr>
                        <wps:bodyPr/>
                      </wps:wsp>
                    </wpg:wgp>
                  </a:graphicData>
                </a:graphic>
              </wp:inline>
            </w:drawing>
          </mc:Choice>
          <mc:Fallback>
            <w:pict>
              <v:group id="Group 19" o:spid="_x0000_s1097" style="width:453.6pt;height:267.1pt;mso-position-horizontal-relative:char;mso-position-vertical-relative:line" coordsize="57640,3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">
                <v:line id="Straight Connector 19734" o:spid="_x0000_s1098" style="position:absolute;flip:y;visibility:visible;mso-wrap-style:square" from="31312,8428" to="45648,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ldMIAAADeAAAADwAAAGRycy9kb3ducmV2LnhtbERPzYrCMBC+C/sOYRb2pqnrqrUaRYQF&#10;8SJVH2BoxjZsMylNrPXtN4LgbT6+31lteluLjlpvHCsYjxIQxIXThksFl/PvMAXhA7LG2jEpeJCH&#10;zfpjsMJMuzvn1J1CKWII+wwVVCE0mZS+qMiiH7mGOHJX11oMEbal1C3eY7it5XeSzKRFw7GhwoZ2&#10;FRV/p5tVkB8fLt1N994YnU/GfX5N60On1Ndnv12CCNSHt/jl3us4fzGf/MDznXiD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aldMIAAADeAAAADwAAAAAAAAAAAAAA&#10;AAChAgAAZHJzL2Rvd25yZXYueG1sUEsFBgAAAAAEAAQA+QAAAJADAAAAAA==&#10;" strokecolor="windowText">
                  <v:stroke startarrow="classic" startarrowlength="long" endarrow="classic" endarrowlength="long"/>
                </v:line>
                <v:shapetype id="_x0000_t33" coordsize="21600,21600" o:spt="33" o:oned="t" path="m,l21600,r,21600e" filled="f">
                  <v:stroke joinstyle="miter"/>
                  <v:path arrowok="t" fillok="f" o:connecttype="none"/>
                  <o:lock v:ext="edit" shapetype="t"/>
                </v:shapetype>
                <v:shape id="Elbow Connector 19735" o:spid="_x0000_s1099" type="#_x0000_t33" style="position:absolute;left:8971;top:10511;width:3606;height:907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dofsYAAADeAAAADwAAAGRycy9kb3ducmV2LnhtbERPyW7CMBC9V+o/WIPEBRWnLF0CBhUK&#10;FYceGuADRvE0jhqPI9uE9O/rSpV6m6e3znLd20Z05EPtWMH9OANBXDpdc6XgfNrfPYEIEVlj45gU&#10;fFOA9er2Zom5dlcuqDvGSqQQDjkqMDG2uZShNGQxjF1LnLhP5y3GBH0ltcdrCreNnGTZg7RYc2ow&#10;2NLWUPl1vFgFh/PoY3Z6Hb2/1XI388XOzDddodRw0L8sQETq47/4z33Qaf7z43QOv++kG+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XaH7GAAAA3gAAAA8AAAAAAAAA&#10;AAAAAAAAoQIAAGRycy9kb3ducmV2LnhtbFBLBQYAAAAABAAEAPkAAACUAwAAAAA=&#10;" strokecolor="windowText">
                  <v:stroke endarrow="classic" endarrowlength="long"/>
                </v:shape>
                <v:shape id="Elbow Connector 19736" o:spid="_x0000_s1100" type="#_x0000_t33" style="position:absolute;left:20823;top:13056;width:9103;height:395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LovMQAAADeAAAADwAAAGRycy9kb3ducmV2LnhtbERPS2vCQBC+F/wPywi91Y0ppBpdg4QW&#10;SntqFM9DdkyC2dmQXfPor+8WCr3Nx/ecfTaZVgzUu8aygvUqAkFcWt1wpeB8envagHAeWWNrmRTM&#10;5CA7LB72mGo78hcNha9ECGGXooLa+y6V0pU1GXQr2xEH7mp7gz7AvpK6xzGEm1bGUZRIgw2Hhho7&#10;ymsqb8XdKEim+bb9fnX559wlfCoc5pf4Q6nH5XTcgfA0+X/xn/tdh/nbl+cEft8JN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ui8xAAAAN4AAAAPAAAAAAAAAAAA&#10;AAAAAKECAABkcnMvZG93bnJldi54bWxQSwUGAAAAAAQABAD5AAAAkgMAAAAA&#10;" strokecolor="windowText">
                  <v:stroke endarrow="classic" endarrowlength="long"/>
                </v:shape>
                <v:shape id="Text Box 81" o:spid="_x0000_s1101" type="#_x0000_t202" style="position:absolute;left:43440;top:14552;width:14200;height:19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MqMMA&#10;AADeAAAADwAAAGRycy9kb3ducmV2LnhtbERPS2rDMBDdF3oHMYXuGjkpzceJEkJLILQrOznAYE0s&#10;E2skJNVxbl8VCt3N431nsxttLwYKsXOsYDopQBA3TnfcKjifDi9LEDEha+wdk4I7RdhtHx82WGp3&#10;44qGOrUih3AsUYFJyZdSxsaQxThxnjhzFxcspgxDK3XAWw63vZwVxVxa7Dg3GPT0bqi51t9WgTwc&#10;p3a43r/Cx9y8VXX0n6vKK/X8NO7XIBKN6V/85z7qPH+1eF3A7zv5B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nMqMMAAADeAAAADwAAAAAAAAAAAAAAAACYAgAAZHJzL2Rv&#10;d25yZXYueG1sUEsFBgAAAAAEAAQA9QAAAIgDAAAAAA==&#10;" filled="f" strokecolor="#a5a5a5">
                  <v:textbox>
                    <w:txbxContent>
                      <w:p w14:paraId="736407C9" w14:textId="77777777" w:rsidR="002536F9" w:rsidRPr="00554BC6" w:rsidRDefault="002536F9" w:rsidP="00F027D8">
                        <w:pPr>
                          <w:pStyle w:val="NormalWeb"/>
                          <w:spacing w:beforeAutospacing="0" w:afterAutospacing="0"/>
                          <w:textAlignment w:val="baseline"/>
                          <w:rPr>
                            <w:rFonts w:asciiTheme="minorHAnsi" w:hAnsiTheme="minorHAnsi" w:cstheme="minorHAnsi"/>
                            <w:sz w:val="14"/>
                            <w:szCs w:val="14"/>
                          </w:rPr>
                        </w:pPr>
                        <w:r w:rsidRPr="00554BC6">
                          <w:rPr>
                            <w:rFonts w:asciiTheme="minorHAnsi" w:eastAsia="Times New Roman" w:hAnsiTheme="minorHAnsi" w:cstheme="minorHAnsi"/>
                            <w:color w:val="000000" w:themeColor="text1"/>
                            <w:spacing w:val="2"/>
                            <w:sz w:val="14"/>
                            <w:szCs w:val="14"/>
                            <w:lang w:val="en-US"/>
                          </w:rPr>
                          <w:t>SLV records $100 expense, but is not funded for the $10 LSL expense, therefore, it records a $10 operating loss.</w:t>
                        </w:r>
                      </w:p>
                      <w:p w14:paraId="5F8B9876" w14:textId="77777777" w:rsidR="002536F9" w:rsidRPr="00554BC6" w:rsidRDefault="002536F9" w:rsidP="00F027D8">
                        <w:pPr>
                          <w:pStyle w:val="NormalWeb"/>
                          <w:kinsoku w:val="0"/>
                          <w:overflowPunct w:val="0"/>
                          <w:spacing w:beforeAutospacing="0" w:afterAutospacing="0"/>
                          <w:textAlignment w:val="baseline"/>
                          <w:rPr>
                            <w:rFonts w:asciiTheme="minorHAnsi" w:hAnsiTheme="minorHAnsi" w:cstheme="minorHAnsi"/>
                            <w:sz w:val="14"/>
                            <w:szCs w:val="14"/>
                          </w:rPr>
                        </w:pPr>
                        <w:r w:rsidRPr="00554BC6">
                          <w:rPr>
                            <w:rFonts w:asciiTheme="minorHAnsi" w:eastAsia="Times New Roman" w:hAnsiTheme="minorHAnsi" w:cstheme="minorHAnsi"/>
                            <w:color w:val="000000" w:themeColor="text1"/>
                            <w:spacing w:val="2"/>
                            <w:sz w:val="14"/>
                            <w:szCs w:val="14"/>
                            <w:lang w:val="en-US"/>
                          </w:rPr>
                          <w:t xml:space="preserve">SLV’s balance sheet records a $10 </w:t>
                        </w:r>
                        <w:r w:rsidRPr="00554BC6">
                          <w:rPr>
                            <w:rFonts w:asciiTheme="minorHAnsi" w:eastAsia="Times New Roman" w:hAnsiTheme="minorHAnsi" w:cstheme="minorHAnsi"/>
                            <w:b/>
                            <w:bCs/>
                            <w:spacing w:val="2"/>
                            <w:sz w:val="14"/>
                            <w:szCs w:val="14"/>
                            <w:lang w:val="en-US"/>
                          </w:rPr>
                          <w:t>liability</w:t>
                        </w:r>
                        <w:r w:rsidRPr="00554BC6">
                          <w:rPr>
                            <w:rFonts w:asciiTheme="minorHAnsi" w:eastAsia="Times New Roman" w:hAnsiTheme="minorHAnsi" w:cstheme="minorHAnsi"/>
                            <w:i/>
                            <w:iCs/>
                            <w:spacing w:val="2"/>
                            <w:sz w:val="14"/>
                            <w:szCs w:val="14"/>
                            <w:lang w:val="en-US"/>
                          </w:rPr>
                          <w:t xml:space="preserve"> </w:t>
                        </w:r>
                        <w:r w:rsidRPr="00554BC6">
                          <w:rPr>
                            <w:rFonts w:asciiTheme="minorHAnsi" w:eastAsia="Times New Roman" w:hAnsiTheme="minorHAnsi" w:cstheme="minorHAnsi"/>
                            <w:color w:val="000000" w:themeColor="text1"/>
                            <w:spacing w:val="2"/>
                            <w:sz w:val="14"/>
                            <w:szCs w:val="14"/>
                            <w:lang w:val="en-US"/>
                          </w:rPr>
                          <w:t xml:space="preserve">equal to the increase in their LSL provision, and a $10 decrease in </w:t>
                        </w:r>
                        <w:r w:rsidRPr="00554BC6">
                          <w:rPr>
                            <w:rFonts w:asciiTheme="minorHAnsi" w:eastAsia="Times New Roman" w:hAnsiTheme="minorHAnsi" w:cstheme="minorHAnsi"/>
                            <w:b/>
                            <w:bCs/>
                            <w:color w:val="000000" w:themeColor="text1"/>
                            <w:spacing w:val="2"/>
                            <w:sz w:val="14"/>
                            <w:szCs w:val="14"/>
                            <w:lang w:val="en-US"/>
                          </w:rPr>
                          <w:t>accumulated funds</w:t>
                        </w:r>
                        <w:r w:rsidRPr="00554BC6">
                          <w:rPr>
                            <w:rFonts w:asciiTheme="minorHAnsi" w:eastAsia="Times New Roman" w:hAnsiTheme="minorHAnsi" w:cstheme="minorHAnsi"/>
                            <w:color w:val="000000" w:themeColor="text1"/>
                            <w:spacing w:val="2"/>
                            <w:sz w:val="14"/>
                            <w:szCs w:val="14"/>
                            <w:lang w:val="en-US"/>
                          </w:rPr>
                          <w:t xml:space="preserve"> equal to the unfunded $10 held by DEDJTR.</w:t>
                        </w:r>
                      </w:p>
                      <w:p w14:paraId="0964DD2F" w14:textId="77777777" w:rsidR="002536F9" w:rsidRPr="00554BC6" w:rsidRDefault="002536F9" w:rsidP="00F027D8">
                        <w:pPr>
                          <w:pStyle w:val="NormalWeb"/>
                          <w:kinsoku w:val="0"/>
                          <w:overflowPunct w:val="0"/>
                          <w:spacing w:beforeAutospacing="0" w:afterAutospacing="0"/>
                          <w:textAlignment w:val="baseline"/>
                          <w:rPr>
                            <w:rFonts w:asciiTheme="minorHAnsi" w:hAnsiTheme="minorHAnsi" w:cstheme="minorHAnsi"/>
                            <w:sz w:val="14"/>
                            <w:szCs w:val="14"/>
                          </w:rPr>
                        </w:pPr>
                        <w:r w:rsidRPr="00554BC6">
                          <w:rPr>
                            <w:rFonts w:asciiTheme="minorHAnsi" w:eastAsia="Times New Roman" w:hAnsiTheme="minorHAnsi" w:cstheme="minorHAnsi"/>
                            <w:color w:val="000000" w:themeColor="text1"/>
                            <w:spacing w:val="2"/>
                            <w:sz w:val="14"/>
                            <w:szCs w:val="14"/>
                            <w:lang w:val="en-US"/>
                          </w:rPr>
                          <w:t>SLV needs to provide a business case proving that it requires the $10 before it will be passed on from DEDJTR.</w:t>
                        </w:r>
                      </w:p>
                    </w:txbxContent>
                  </v:textbox>
                </v:shape>
                <v:shape id="Text Box 80" o:spid="_x0000_s1102" type="#_x0000_t202" style="position:absolute;left:87;top:23304;width:41233;height:1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Y2sUA&#10;AADeAAAADwAAAGRycy9kb3ducmV2LnhtbESPQU/DMAyF70j8h8hI3Fg6EBsryyYEmjTBqYUfYDWm&#10;qdY4URK67t/jAxI3W+/5vc/b/exHNVHKQ2ADy0UFirgLduDewNfn4e4JVC7IFsfAZOBCGfa766st&#10;1jacuaGpLb2SEM41GnClxFrr3DnymBchEov2HZLHImvqtU14lnA/6vuqWmmPA0uDw0ivjrpT++MN&#10;6MNx6afT5SO9rdxj0+b4vmmiMbc388szqEJz+Tf/XR+t4G/WD8Ir78gM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5ljaxQAAAN4AAAAPAAAAAAAAAAAAAAAAAJgCAABkcnMv&#10;ZG93bnJldi54bWxQSwUGAAAAAAQABAD1AAAAigMAAAAA&#10;" filled="f" strokecolor="#a5a5a5">
                  <v:textbox>
                    <w:txbxContent>
                      <w:p w14:paraId="18C5AA71" w14:textId="77777777" w:rsidR="002536F9" w:rsidRPr="00554BC6" w:rsidRDefault="002536F9" w:rsidP="00F027D8">
                        <w:pPr>
                          <w:pStyle w:val="NormalWeb"/>
                          <w:spacing w:beforeAutospacing="0" w:afterAutospacing="0"/>
                          <w:textAlignment w:val="baseline"/>
                          <w:rPr>
                            <w:rFonts w:asciiTheme="minorHAnsi" w:hAnsiTheme="minorHAnsi" w:cstheme="minorHAnsi"/>
                            <w:sz w:val="14"/>
                            <w:szCs w:val="14"/>
                          </w:rPr>
                        </w:pPr>
                        <w:r w:rsidRPr="00554BC6">
                          <w:rPr>
                            <w:rFonts w:asciiTheme="minorHAnsi" w:eastAsia="Times New Roman" w:hAnsiTheme="minorHAnsi" w:cstheme="minorHAnsi"/>
                            <w:color w:val="000000" w:themeColor="text1"/>
                            <w:spacing w:val="2"/>
                            <w:sz w:val="14"/>
                            <w:szCs w:val="14"/>
                            <w:lang w:val="en-US"/>
                          </w:rPr>
                          <w:t>DEDJTR receives $100 revenue from the SAU for delivery of SLV outputs. SLV’s costs are $10 for LSL expense and $90 for other expenses.</w:t>
                        </w:r>
                      </w:p>
                      <w:p w14:paraId="72287442" w14:textId="77A8CA13" w:rsidR="002536F9" w:rsidRPr="00554BC6" w:rsidRDefault="002536F9" w:rsidP="00F027D8">
                        <w:pPr>
                          <w:pStyle w:val="NormalWeb"/>
                          <w:kinsoku w:val="0"/>
                          <w:overflowPunct w:val="0"/>
                          <w:spacing w:beforeAutospacing="0" w:afterAutospacing="0"/>
                          <w:textAlignment w:val="baseline"/>
                          <w:rPr>
                            <w:rFonts w:asciiTheme="minorHAnsi" w:hAnsiTheme="minorHAnsi" w:cstheme="minorHAnsi"/>
                            <w:sz w:val="14"/>
                            <w:szCs w:val="14"/>
                          </w:rPr>
                        </w:pPr>
                        <w:r w:rsidRPr="00554BC6">
                          <w:rPr>
                            <w:rFonts w:asciiTheme="minorHAnsi" w:eastAsia="Times New Roman" w:hAnsiTheme="minorHAnsi" w:cstheme="minorHAnsi"/>
                            <w:color w:val="000000" w:themeColor="text1"/>
                            <w:spacing w:val="2"/>
                            <w:sz w:val="14"/>
                            <w:szCs w:val="14"/>
                            <w:lang w:val="en-US"/>
                          </w:rPr>
                          <w:t xml:space="preserve">DEDJTR does not fund SLV for the $10 LSL expense because SLV will not spend this as cash in the </w:t>
                        </w:r>
                        <w:r>
                          <w:rPr>
                            <w:rFonts w:asciiTheme="minorHAnsi" w:eastAsia="Times New Roman" w:hAnsiTheme="minorHAnsi" w:cstheme="minorHAnsi"/>
                            <w:color w:val="000000" w:themeColor="text1"/>
                            <w:spacing w:val="2"/>
                            <w:sz w:val="14"/>
                            <w:szCs w:val="14"/>
                            <w:lang w:val="en-US"/>
                          </w:rPr>
                          <w:t>b</w:t>
                        </w:r>
                        <w:r w:rsidRPr="00554BC6">
                          <w:rPr>
                            <w:rFonts w:asciiTheme="minorHAnsi" w:eastAsia="Times New Roman" w:hAnsiTheme="minorHAnsi" w:cstheme="minorHAnsi"/>
                            <w:color w:val="000000" w:themeColor="text1"/>
                            <w:spacing w:val="2"/>
                            <w:sz w:val="14"/>
                            <w:szCs w:val="14"/>
                            <w:lang w:val="en-US"/>
                          </w:rPr>
                          <w:t xml:space="preserve">udget year. Accordingly, DEDJTR records a $90 expense (current grant to SLV) and a $10 profit held as a </w:t>
                        </w:r>
                        <w:r w:rsidRPr="00554BC6">
                          <w:rPr>
                            <w:rFonts w:asciiTheme="minorHAnsi" w:eastAsia="Times New Roman" w:hAnsiTheme="minorHAnsi" w:cstheme="minorHAnsi"/>
                            <w:b/>
                            <w:bCs/>
                            <w:color w:val="000000" w:themeColor="text1"/>
                            <w:spacing w:val="2"/>
                            <w:sz w:val="14"/>
                            <w:szCs w:val="14"/>
                            <w:lang w:val="en-US"/>
                          </w:rPr>
                          <w:t>receivable/asset</w:t>
                        </w:r>
                        <w:r w:rsidRPr="00554BC6">
                          <w:rPr>
                            <w:rFonts w:asciiTheme="minorHAnsi" w:eastAsia="Times New Roman" w:hAnsiTheme="minorHAnsi" w:cstheme="minorHAnsi"/>
                            <w:color w:val="000000" w:themeColor="text1"/>
                            <w:spacing w:val="2"/>
                            <w:sz w:val="14"/>
                            <w:szCs w:val="14"/>
                            <w:lang w:val="en-US"/>
                          </w:rPr>
                          <w:t xml:space="preserve"> in its inter</w:t>
                        </w:r>
                        <w:r w:rsidRPr="00554BC6">
                          <w:rPr>
                            <w:rFonts w:asciiTheme="minorHAnsi" w:eastAsia="Times New Roman" w:hAnsiTheme="minorHAnsi" w:cstheme="minorHAnsi"/>
                            <w:color w:val="000000" w:themeColor="text1"/>
                            <w:spacing w:val="2"/>
                            <w:sz w:val="14"/>
                            <w:szCs w:val="14"/>
                            <w:lang w:val="en-US"/>
                          </w:rPr>
                          <w:noBreakHyphen/>
                          <w:t>entity SAU account.</w:t>
                        </w:r>
                      </w:p>
                      <w:p w14:paraId="1501058F" w14:textId="77777777" w:rsidR="002536F9" w:rsidRPr="00554BC6" w:rsidRDefault="002536F9" w:rsidP="00F027D8">
                        <w:pPr>
                          <w:pStyle w:val="NormalWeb"/>
                          <w:kinsoku w:val="0"/>
                          <w:overflowPunct w:val="0"/>
                          <w:spacing w:beforeAutospacing="0" w:afterAutospacing="0"/>
                          <w:textAlignment w:val="baseline"/>
                          <w:rPr>
                            <w:rFonts w:asciiTheme="minorHAnsi" w:hAnsiTheme="minorHAnsi" w:cstheme="minorHAnsi"/>
                            <w:sz w:val="14"/>
                            <w:szCs w:val="14"/>
                          </w:rPr>
                        </w:pPr>
                        <w:r w:rsidRPr="00554BC6">
                          <w:rPr>
                            <w:rFonts w:asciiTheme="minorHAnsi" w:eastAsia="Times New Roman" w:hAnsiTheme="minorHAnsi" w:cstheme="minorHAnsi"/>
                            <w:color w:val="000000" w:themeColor="text1"/>
                            <w:spacing w:val="2"/>
                            <w:sz w:val="14"/>
                            <w:szCs w:val="14"/>
                            <w:lang w:val="en-US"/>
                          </w:rPr>
                          <w:t>The balance in the DEDJTR inter</w:t>
                        </w:r>
                        <w:r w:rsidRPr="00554BC6">
                          <w:rPr>
                            <w:rFonts w:asciiTheme="minorHAnsi" w:eastAsia="Times New Roman" w:hAnsiTheme="minorHAnsi" w:cstheme="minorHAnsi"/>
                            <w:color w:val="000000" w:themeColor="text1"/>
                            <w:spacing w:val="2"/>
                            <w:sz w:val="14"/>
                            <w:szCs w:val="14"/>
                            <w:lang w:val="en-US"/>
                          </w:rPr>
                          <w:noBreakHyphen/>
                          <w:t>entity account is invested in the DTF SAU, the DEDJTR profit and the SLV loss balance to zero upon consolidation in the Departmental financial statements.</w:t>
                        </w:r>
                      </w:p>
                    </w:txbxContent>
                  </v:textbox>
                </v:shape>
                <v:rect id="Rectangle 19739" o:spid="_x0000_s1103" style="position:absolute;top:1522;width:11961;height:4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bXcgA&#10;AADeAAAADwAAAGRycy9kb3ducmV2LnhtbERPS2vCQBC+C/0PyxR6Ed20StXoKqXYB6SX+Dj0Ns2O&#10;STA7G3a3Mf333ULB23x8z1ltetOIjpyvLSu4HycgiAuray4VHPYvozkIH5A1NpZJwQ952KxvBitM&#10;tb1wTt0ulCKGsE9RQRVCm0rpi4oM+rFtiSN3ss5giNCVUju8xHDTyIckeZQGa44NFbb0XFFx3n0b&#10;BW/Dz3zihh/b6Tbr3Pn1mGX59Eupu9v+aQkiUB+u4n/3u47zF7PJAv7eiTf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QdtdyAAAAN4AAAAPAAAAAAAAAAAAAAAAAJgCAABk&#10;cnMvZG93bnJldi54bWxQSwUGAAAAAAQABAD1AAAAjQMAAAAA&#10;" fillcolor="#53565a" strokecolor="#53565a">
                  <v:textbox>
                    <w:txbxContent>
                      <w:p w14:paraId="035F74D2" w14:textId="77777777" w:rsidR="002536F9" w:rsidRPr="00554BC6" w:rsidRDefault="002536F9" w:rsidP="00554BC6">
                        <w:pPr>
                          <w:pStyle w:val="NormalWeb"/>
                          <w:spacing w:before="0" w:beforeAutospacing="0" w:after="0" w:afterAutospacing="0"/>
                          <w:jc w:val="center"/>
                          <w:textAlignment w:val="baseline"/>
                          <w:rPr>
                            <w:rFonts w:asciiTheme="minorHAnsi" w:hAnsiTheme="minorHAnsi" w:cstheme="minorHAnsi"/>
                            <w:color w:val="FFFFFF" w:themeColor="background1"/>
                          </w:rPr>
                        </w:pPr>
                        <w:r w:rsidRPr="00554BC6">
                          <w:rPr>
                            <w:rFonts w:asciiTheme="minorHAnsi" w:eastAsia="Times New Roman" w:hAnsiTheme="minorHAnsi" w:cstheme="minorHAnsi"/>
                            <w:b/>
                            <w:bCs/>
                            <w:color w:val="FFFFFF" w:themeColor="background1"/>
                            <w:kern w:val="24"/>
                            <w:lang w:val="en-US"/>
                          </w:rPr>
                          <w:t>SAU</w:t>
                        </w:r>
                        <w:r w:rsidRPr="00554BC6">
                          <w:rPr>
                            <w:rFonts w:asciiTheme="minorHAnsi" w:eastAsia="Times New Roman" w:hAnsiTheme="minorHAnsi" w:cstheme="minorHAnsi"/>
                            <w:b/>
                            <w:bCs/>
                            <w:color w:val="FFFFFF" w:themeColor="background1"/>
                            <w:kern w:val="24"/>
                            <w:lang w:val="en-US"/>
                          </w:rPr>
                          <w:br/>
                        </w:r>
                        <w:r w:rsidRPr="00554BC6">
                          <w:rPr>
                            <w:rFonts w:asciiTheme="minorHAnsi" w:eastAsia="Times New Roman" w:hAnsiTheme="minorHAnsi" w:cstheme="minorHAnsi"/>
                            <w:color w:val="FFFFFF" w:themeColor="background1"/>
                            <w:kern w:val="24"/>
                            <w:sz w:val="18"/>
                            <w:szCs w:val="18"/>
                            <w:lang w:val="en-US"/>
                          </w:rPr>
                          <w:t>Consolidated Fund</w:t>
                        </w:r>
                      </w:p>
                    </w:txbxContent>
                  </v:textbox>
                </v:rect>
                <v:rect id="Rectangle 19740" o:spid="_x0000_s1104" style="position:absolute;left:23396;top:1522;width:10818;height:4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0BvcoA&#10;AADeAAAADwAAAGRycy9kb3ducmV2LnhtbESPT0/DMAzF70h8h8hIXKYtBSr+lGUTQgMmlUs3OHAz&#10;jWmrNU6VhK58e3xA4mbLz++933I9uV6NFGLn2cDFIgNFXHvbcWPgbf80vwUVE7LF3jMZ+KEI69Xp&#10;yRIL649c0bhLjRITjgUaaFMaCq1j3ZLDuPADsdy+fHCYZA2NtgGPYu56fZll19phx5LQ4kCPLdWH&#10;3bcz8DL7qK7C7HWTb8oxHJ7fy7LKP405P5se7kElmtK/+O97a6X+3U0uAIIjM+jV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x9Ab3KAAAA3gAAAA8AAAAAAAAAAAAAAAAAmAIA&#10;AGRycy9kb3ducmV2LnhtbFBLBQYAAAAABAAEAPUAAACPAwAAAAA=&#10;" fillcolor="#53565a" strokecolor="#53565a">
                  <v:textbox>
                    <w:txbxContent>
                      <w:p w14:paraId="35390C57" w14:textId="77777777" w:rsidR="002536F9" w:rsidRPr="00554BC6" w:rsidRDefault="002536F9" w:rsidP="00554BC6">
                        <w:pPr>
                          <w:pStyle w:val="NormalWeb"/>
                          <w:spacing w:before="0" w:beforeAutospacing="0" w:after="0" w:afterAutospacing="0"/>
                          <w:jc w:val="center"/>
                          <w:textAlignment w:val="baseline"/>
                          <w:rPr>
                            <w:rFonts w:asciiTheme="minorHAnsi" w:hAnsiTheme="minorHAnsi" w:cstheme="minorHAnsi"/>
                            <w:color w:val="FFFFFF" w:themeColor="background1"/>
                          </w:rPr>
                        </w:pPr>
                        <w:r w:rsidRPr="00554BC6">
                          <w:rPr>
                            <w:rFonts w:asciiTheme="minorHAnsi" w:eastAsia="Times New Roman" w:hAnsiTheme="minorHAnsi" w:cstheme="minorHAnsi"/>
                            <w:b/>
                            <w:bCs/>
                            <w:color w:val="FFFFFF" w:themeColor="background1"/>
                            <w:kern w:val="24"/>
                            <w:lang w:val="en-US"/>
                          </w:rPr>
                          <w:t>DEDJTR</w:t>
                        </w:r>
                        <w:r w:rsidRPr="00554BC6">
                          <w:rPr>
                            <w:rFonts w:asciiTheme="minorHAnsi" w:eastAsia="Times New Roman" w:hAnsiTheme="minorHAnsi" w:cstheme="minorHAnsi"/>
                            <w:b/>
                            <w:bCs/>
                            <w:color w:val="FFFFFF" w:themeColor="background1"/>
                            <w:kern w:val="24"/>
                            <w:lang w:val="en-US"/>
                          </w:rPr>
                          <w:br/>
                        </w:r>
                        <w:r w:rsidRPr="00554BC6">
                          <w:rPr>
                            <w:rFonts w:asciiTheme="minorHAnsi" w:eastAsia="Times New Roman" w:hAnsiTheme="minorHAnsi" w:cstheme="minorHAnsi"/>
                            <w:color w:val="FFFFFF" w:themeColor="background1"/>
                            <w:kern w:val="24"/>
                            <w:sz w:val="18"/>
                            <w:szCs w:val="18"/>
                            <w:lang w:val="en-US"/>
                          </w:rPr>
                          <w:t>Creative Victoria</w:t>
                        </w:r>
                      </w:p>
                    </w:txbxContent>
                  </v:textbox>
                </v:rect>
                <v:rect id="Rectangle 19741" o:spid="_x0000_s1105" style="position:absolute;left:45648;top:1522;width:11992;height:4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kJscA&#10;AADeAAAADwAAAGRycy9kb3ducmV2LnhtbERPTU/CQBC9m/gfNmPChcgWbFArCzEGgaReinrwNnbH&#10;tqE72+yupfx7l4TE27y8z1msBtOKnpxvLCuYThIQxKXVDVcKPt5fbx9A+ICssbVMCk7kYbW8vlpg&#10;pu2RC+r3oRIxhH2GCuoQukxKX9Zk0E9sRxy5H+sMhghdJbXDYww3rZwlyVwabDg21NjRS03lYf9r&#10;FGzHX8WdG7+t03Xeu8PmM8+L9Fup0c3w/AQi0BD+xRf3Tsf5j/fpFM7vxBv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xpCbHAAAA3gAAAA8AAAAAAAAAAAAAAAAAmAIAAGRy&#10;cy9kb3ducmV2LnhtbFBLBQYAAAAABAAEAPUAAACMAwAAAAA=&#10;" fillcolor="#53565a" strokecolor="#53565a">
                  <v:textbox>
                    <w:txbxContent>
                      <w:p w14:paraId="23A1FCF9" w14:textId="77777777" w:rsidR="002536F9" w:rsidRPr="00554BC6" w:rsidRDefault="002536F9" w:rsidP="00F027D8">
                        <w:pPr>
                          <w:pStyle w:val="NormalWeb"/>
                          <w:spacing w:before="0" w:beforeAutospacing="0" w:after="0" w:afterAutospacing="0"/>
                          <w:jc w:val="center"/>
                          <w:textAlignment w:val="baseline"/>
                          <w:rPr>
                            <w:rFonts w:asciiTheme="minorHAnsi" w:hAnsiTheme="minorHAnsi" w:cstheme="minorHAnsi"/>
                            <w:color w:val="FFFFFF" w:themeColor="background1"/>
                          </w:rPr>
                        </w:pPr>
                        <w:r w:rsidRPr="00554BC6">
                          <w:rPr>
                            <w:rFonts w:asciiTheme="minorHAnsi" w:eastAsia="Times New Roman" w:hAnsiTheme="minorHAnsi" w:cstheme="minorHAnsi"/>
                            <w:b/>
                            <w:bCs/>
                            <w:color w:val="FFFFFF" w:themeColor="background1"/>
                            <w:kern w:val="24"/>
                            <w:lang w:val="en-US"/>
                          </w:rPr>
                          <w:t>SLV</w:t>
                        </w:r>
                      </w:p>
                    </w:txbxContent>
                  </v:textbox>
                </v:rect>
                <v:shape id="Text Box 74" o:spid="_x0000_s1106" type="#_x0000_t202" style="position:absolute;left:12441;top:169;width:10475;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MdsMA&#10;AADeAAAADwAAAGRycy9kb3ducmV2LnhtbERPS2sCMRC+F/wPYYTeNKn4qNuNIpaCJ0VtC70Nm9kH&#10;3UyWTequ/94IQm/z8T0nXfe2FhdqfeVYw8tYgSDOnKm40PB5/hi9gvAB2WDtmDRcycN6NXhKMTGu&#10;4yNdTqEQMYR9ghrKEJpESp+VZNGPXUMcudy1FkOEbSFNi10Mt7WcKDWXFiuODSU2tC0p+z39WQ1f&#10;+/zne6oOxbudNZ3rlWS7lFo/D/vNG4hAffgXP9w7E+cvF9MJ3N+JN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VMdsMAAADeAAAADwAAAAAAAAAAAAAAAACYAgAAZHJzL2Rv&#10;d25yZXYueG1sUEsFBgAAAAAEAAQA9QAAAIgDAAAAAA==&#10;" filled="f" stroked="f">
                  <v:textbox>
                    <w:txbxContent>
                      <w:p w14:paraId="7DF19687" w14:textId="77777777" w:rsidR="002536F9" w:rsidRPr="00554BC6" w:rsidRDefault="002536F9" w:rsidP="00F027D8">
                        <w:pPr>
                          <w:pStyle w:val="NormalWeb"/>
                          <w:spacing w:before="0" w:beforeAutospacing="0" w:after="0" w:afterAutospacing="0"/>
                          <w:jc w:val="center"/>
                          <w:textAlignment w:val="baseline"/>
                          <w:rPr>
                            <w:rFonts w:asciiTheme="minorHAnsi" w:hAnsiTheme="minorHAnsi" w:cstheme="minorHAnsi"/>
                            <w:sz w:val="12"/>
                            <w:szCs w:val="12"/>
                          </w:rPr>
                        </w:pPr>
                        <w:r w:rsidRPr="00554BC6">
                          <w:rPr>
                            <w:rFonts w:asciiTheme="minorHAnsi" w:eastAsia="Times New Roman" w:hAnsiTheme="minorHAnsi" w:cstheme="minorHAnsi"/>
                            <w:color w:val="000000" w:themeColor="text1"/>
                            <w:kern w:val="24"/>
                            <w:sz w:val="12"/>
                            <w:szCs w:val="12"/>
                            <w:lang w:val="en-US"/>
                          </w:rPr>
                          <w:t xml:space="preserve">DEDJTR receives $100 revenue for delivery </w:t>
                        </w:r>
                        <w:r w:rsidRPr="00554BC6">
                          <w:rPr>
                            <w:rFonts w:asciiTheme="minorHAnsi" w:eastAsia="Times New Roman" w:hAnsiTheme="minorHAnsi" w:cstheme="minorHAnsi"/>
                            <w:color w:val="000000" w:themeColor="text1"/>
                            <w:kern w:val="24"/>
                            <w:sz w:val="12"/>
                            <w:szCs w:val="12"/>
                            <w:lang w:val="en-US"/>
                          </w:rPr>
                          <w:br/>
                          <w:t>of Library services</w:t>
                        </w:r>
                      </w:p>
                    </w:txbxContent>
                  </v:textbox>
                </v:shape>
                <v:shape id="Text Box 73" o:spid="_x0000_s1107" type="#_x0000_t202" style="position:absolute;left:35094;width:10040;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np7cMA&#10;AADeAAAADwAAAGRycy9kb3ducmV2LnhtbERPS2sCMRC+F/wPYYTeNNFaH6tRpKXgqeITvA2bcXdx&#10;M1k2qbv++6Yg9DYf33MWq9aW4k61LxxrGPQVCOLUmYIzDcfDV28Kwgdkg6Vj0vAgD6tl52WBiXEN&#10;7+i+D5mIIewT1JCHUCVS+jQni77vKuLIXV1tMURYZ9LU2MRwW8qhUmNpseDYkGNFHzmlt/2P1XD6&#10;vl7OI7XNPu171bhWSbYzqfVrt13PQQRqw7/46d6YOH82Gb3B3zvxB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np7cMAAADeAAAADwAAAAAAAAAAAAAAAACYAgAAZHJzL2Rv&#10;d25yZXYueG1sUEsFBgAAAAAEAAQA9QAAAIgDAAAAAA==&#10;" filled="f" stroked="f">
                  <v:textbox>
                    <w:txbxContent>
                      <w:p w14:paraId="0C7741B9" w14:textId="77777777" w:rsidR="002536F9" w:rsidRPr="00554BC6" w:rsidRDefault="002536F9" w:rsidP="00F027D8">
                        <w:pPr>
                          <w:pStyle w:val="NormalWeb"/>
                          <w:spacing w:before="0" w:beforeAutospacing="0" w:after="0" w:afterAutospacing="0"/>
                          <w:jc w:val="center"/>
                          <w:textAlignment w:val="baseline"/>
                          <w:rPr>
                            <w:rFonts w:asciiTheme="minorHAnsi" w:hAnsiTheme="minorHAnsi" w:cstheme="minorHAnsi"/>
                            <w:sz w:val="12"/>
                            <w:szCs w:val="12"/>
                          </w:rPr>
                        </w:pPr>
                        <w:r w:rsidRPr="00554BC6">
                          <w:rPr>
                            <w:rFonts w:asciiTheme="minorHAnsi" w:eastAsia="Times New Roman" w:hAnsiTheme="minorHAnsi" w:cstheme="minorHAnsi"/>
                            <w:color w:val="000000" w:themeColor="text1"/>
                            <w:kern w:val="24"/>
                            <w:sz w:val="12"/>
                            <w:szCs w:val="12"/>
                            <w:lang w:val="en-US"/>
                          </w:rPr>
                          <w:t xml:space="preserve">DEDJTR expenses $90 </w:t>
                        </w:r>
                        <w:r w:rsidRPr="00554BC6">
                          <w:rPr>
                            <w:rFonts w:asciiTheme="minorHAnsi" w:eastAsia="Times New Roman" w:hAnsiTheme="minorHAnsi" w:cstheme="minorHAnsi"/>
                            <w:color w:val="000000" w:themeColor="text1"/>
                            <w:kern w:val="24"/>
                            <w:sz w:val="12"/>
                            <w:szCs w:val="12"/>
                            <w:lang w:val="en-US"/>
                          </w:rPr>
                          <w:br/>
                          <w:t xml:space="preserve">which is passed on in </w:t>
                        </w:r>
                        <w:r w:rsidRPr="00554BC6">
                          <w:rPr>
                            <w:rFonts w:asciiTheme="minorHAnsi" w:eastAsia="Times New Roman" w:hAnsiTheme="minorHAnsi" w:cstheme="minorHAnsi"/>
                            <w:color w:val="000000" w:themeColor="text1"/>
                            <w:kern w:val="24"/>
                            <w:sz w:val="12"/>
                            <w:szCs w:val="12"/>
                            <w:lang w:val="en-US"/>
                          </w:rPr>
                          <w:br/>
                          <w:t>grant to SLV</w:t>
                        </w:r>
                      </w:p>
                    </w:txbxContent>
                  </v:textbox>
                </v:shape>
                <v:rect id="Rectangle 19488" o:spid="_x0000_s1108" style="position:absolute;left:12577;top:17175;width:10819;height:4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8zNscA&#10;AADeAAAADwAAAGRycy9kb3ducmV2LnhtbESPT0/DMAzF70j7DpEncWPpEILRLZs2JKSJG4UeuFmN&#10;1xQap2rSP/v2+IDEzdZ7fu/n3WH2rRqpj01gA+tVBoq4Crbh2sDnx+vdBlRMyBbbwGTgShEO+8XN&#10;DnMbJn6nsUi1khCOORpwKXW51rFy5DGuQkcs2iX0HpOsfa1tj5OE+1bfZ9mj9tiwNDjs6MVR9VMM&#10;3kBWFk/h61za4Tq5N/c9rKfTWBpzu5yPW1CJ5vRv/rs+W8F/ftgIr7wjM+j9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vMzbHAAAA3gAAAA8AAAAAAAAAAAAAAAAAmAIAAGRy&#10;cy9kb3ducmV2LnhtbFBLBQYAAAAABAAEAPUAAACMAwAAAAA=&#10;" fillcolor="#d9d9d6" strokecolor="#d9d9d6">
                  <v:textbox>
                    <w:txbxContent>
                      <w:p w14:paraId="4FA50BE8" w14:textId="77777777" w:rsidR="002536F9" w:rsidRPr="00554BC6" w:rsidRDefault="002536F9" w:rsidP="00554BC6">
                        <w:pPr>
                          <w:pStyle w:val="NormalWeb"/>
                          <w:spacing w:before="0" w:beforeAutospacing="0" w:after="0" w:afterAutospacing="0"/>
                          <w:jc w:val="center"/>
                          <w:textAlignment w:val="baseline"/>
                          <w:rPr>
                            <w:rFonts w:asciiTheme="minorHAnsi" w:hAnsiTheme="minorHAnsi" w:cstheme="minorHAnsi"/>
                            <w:sz w:val="16"/>
                            <w:szCs w:val="16"/>
                          </w:rPr>
                        </w:pPr>
                        <w:r w:rsidRPr="00554BC6">
                          <w:rPr>
                            <w:rFonts w:asciiTheme="minorHAnsi" w:eastAsia="Times New Roman" w:hAnsiTheme="minorHAnsi" w:cstheme="minorHAnsi"/>
                            <w:b/>
                            <w:bCs/>
                            <w:color w:val="000000" w:themeColor="text1"/>
                            <w:kern w:val="24"/>
                            <w:lang w:val="en-US"/>
                          </w:rPr>
                          <w:t>DEDJTR</w:t>
                        </w:r>
                        <w:r w:rsidRPr="00554BC6">
                          <w:rPr>
                            <w:rFonts w:asciiTheme="minorHAnsi" w:eastAsia="Times New Roman" w:hAnsiTheme="minorHAnsi" w:cstheme="minorHAnsi"/>
                            <w:b/>
                            <w:bCs/>
                            <w:color w:val="000000" w:themeColor="text1"/>
                            <w:kern w:val="24"/>
                            <w:lang w:val="en-US"/>
                          </w:rPr>
                          <w:br/>
                        </w:r>
                        <w:r w:rsidRPr="00554BC6">
                          <w:rPr>
                            <w:rFonts w:asciiTheme="minorHAnsi" w:eastAsia="Times New Roman" w:hAnsiTheme="minorHAnsi" w:cstheme="minorHAnsi"/>
                            <w:color w:val="000000" w:themeColor="text1"/>
                            <w:kern w:val="24"/>
                            <w:sz w:val="16"/>
                            <w:szCs w:val="16"/>
                            <w:lang w:val="en-US"/>
                          </w:rPr>
                          <w:t>Inter</w:t>
                        </w:r>
                        <w:r w:rsidRPr="00554BC6">
                          <w:rPr>
                            <w:rFonts w:asciiTheme="minorHAnsi" w:eastAsia="Times New Roman" w:hAnsiTheme="minorHAnsi" w:cstheme="minorHAnsi"/>
                            <w:color w:val="000000" w:themeColor="text1"/>
                            <w:kern w:val="24"/>
                            <w:sz w:val="16"/>
                            <w:szCs w:val="16"/>
                            <w:lang w:val="en-US"/>
                          </w:rPr>
                          <w:noBreakHyphen/>
                          <w:t>entity SAU</w:t>
                        </w:r>
                      </w:p>
                    </w:txbxContent>
                  </v:textbox>
                </v:rect>
                <v:rect id="Rectangle 19489" o:spid="_x0000_s1109" style="position:absolute;left:5980;top:6514;width:5981;height:3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08YA&#10;AADeAAAADwAAAGRycy9kb3ducmV2LnhtbERPS2vCQBC+C/0PyxR6001FrEldpQ8EL6K1RfE2yU6T&#10;kOxs2F01/fddodDbfHzPmS9704oLOV9bVvA4SkAQF1bXXCr4+lwNZyB8QNbYWiYFP+RhubgbzDHT&#10;9sofdNmHUsQQ9hkqqELoMil9UZFBP7IdceS+rTMYInSl1A6vMdy0cpwkU2mw5thQYUdvFRXN/mwU&#10;nHavzWm6PVDq3vk4Ged5vmmelHq471+eQQTqw7/4z73WcX46maVweyfe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C08YAAADeAAAADwAAAAAAAAAAAAAAAACYAgAAZHJz&#10;L2Rvd25yZXYueG1sUEsFBgAAAAAEAAQA9QAAAIsDAAAAAA==&#10;" fillcolor="#749cc9" strokecolor="#749cc9">
                  <v:textbox inset="1mm,,1mm">
                    <w:txbxContent>
                      <w:p w14:paraId="22642CFF" w14:textId="77777777" w:rsidR="002536F9" w:rsidRPr="00554BC6" w:rsidRDefault="002536F9" w:rsidP="00554BC6">
                        <w:pPr>
                          <w:pStyle w:val="NormalWeb"/>
                          <w:spacing w:before="0" w:beforeAutospacing="0" w:after="0" w:afterAutospacing="0"/>
                          <w:jc w:val="center"/>
                          <w:textAlignment w:val="baseline"/>
                          <w:rPr>
                            <w:rFonts w:asciiTheme="minorHAnsi" w:hAnsiTheme="minorHAnsi" w:cstheme="minorHAnsi"/>
                            <w:color w:val="FFFFFF" w:themeColor="background1"/>
                            <w:sz w:val="15"/>
                            <w:szCs w:val="15"/>
                          </w:rPr>
                        </w:pPr>
                        <w:r w:rsidRPr="00554BC6">
                          <w:rPr>
                            <w:rFonts w:asciiTheme="minorHAnsi" w:eastAsia="Times New Roman" w:hAnsiTheme="minorHAnsi" w:cstheme="minorHAnsi"/>
                            <w:color w:val="FFFFFF" w:themeColor="background1"/>
                            <w:kern w:val="24"/>
                            <w:sz w:val="15"/>
                            <w:szCs w:val="15"/>
                            <w:lang w:val="en-US"/>
                          </w:rPr>
                          <w:t>DTF</w:t>
                        </w:r>
                        <w:r w:rsidRPr="00554BC6">
                          <w:rPr>
                            <w:rFonts w:asciiTheme="minorHAnsi" w:eastAsia="Times New Roman" w:hAnsiTheme="minorHAnsi" w:cstheme="minorHAnsi"/>
                            <w:color w:val="FFFFFF" w:themeColor="background1"/>
                            <w:kern w:val="24"/>
                            <w:sz w:val="15"/>
                            <w:szCs w:val="15"/>
                            <w:lang w:val="en-US"/>
                          </w:rPr>
                          <w:br/>
                          <w:t>liability</w:t>
                        </w:r>
                      </w:p>
                    </w:txbxContent>
                  </v:textbox>
                </v:rect>
                <v:rect id="Rectangle 19490" o:spid="_x0000_s1110" style="position:absolute;left:23396;top:6486;width:7916;height:3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NdscA&#10;AADeAAAADwAAAGRycy9kb3ducmV2LnhtbESPQWvDMAyF74P+B6PCbqvTrpQ1rVvKYNDLDksK21HE&#10;WuImlkPsNdl+/XQY7Cah996ntz9OvlM3GqILbGC5yEARV8E6rg1cypeHJ1AxIVvsApOBb4pwPMzu&#10;9pjbMPIb3YpUKwnhmKOBJqU+1zpWDXmMi9ATy+0zDB6TrEOt7YCjhPtOr7Jsoz06FkKDPT03VLXF&#10;lxduO5L7eG/P15Ur2nL9U25eH0tj7ufTaQcq0ZT+xX/us5X3t+utFJA6MoM+/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jzXbHAAAA3gAAAA8AAAAAAAAAAAAAAAAAmAIAAGRy&#10;cy9kb3ducmV2LnhtbFBLBQYAAAAABAAEAPUAAACMAwAAAAA=&#10;" fillcolor="#d9d9d6" strokecolor="#d9d9d6">
                  <v:textbox inset="1mm,,1mm">
                    <w:txbxContent>
                      <w:p w14:paraId="593FE0BA" w14:textId="77777777" w:rsidR="002536F9" w:rsidRPr="00554BC6" w:rsidRDefault="002536F9" w:rsidP="00554BC6">
                        <w:pPr>
                          <w:pStyle w:val="NormalWeb"/>
                          <w:spacing w:before="0" w:beforeAutospacing="0" w:after="0" w:afterAutospacing="0"/>
                          <w:jc w:val="center"/>
                          <w:textAlignment w:val="baseline"/>
                          <w:rPr>
                            <w:rFonts w:asciiTheme="minorHAnsi" w:hAnsiTheme="minorHAnsi" w:cstheme="minorHAnsi"/>
                            <w:b/>
                            <w:bCs/>
                            <w:color w:val="000000" w:themeColor="text1"/>
                            <w:kern w:val="24"/>
                            <w:sz w:val="15"/>
                            <w:szCs w:val="15"/>
                          </w:rPr>
                        </w:pPr>
                        <w:r w:rsidRPr="00554BC6">
                          <w:rPr>
                            <w:rFonts w:asciiTheme="minorHAnsi" w:eastAsia="Times New Roman" w:hAnsiTheme="minorHAnsi" w:cstheme="minorHAnsi"/>
                            <w:b/>
                            <w:bCs/>
                            <w:color w:val="000000" w:themeColor="text1"/>
                            <w:kern w:val="24"/>
                            <w:sz w:val="15"/>
                            <w:szCs w:val="15"/>
                            <w:lang w:val="en-US"/>
                          </w:rPr>
                          <w:t>DEDJTR</w:t>
                        </w:r>
                        <w:r>
                          <w:rPr>
                            <w:rFonts w:asciiTheme="minorHAnsi" w:eastAsia="Times New Roman" w:hAnsiTheme="minorHAnsi" w:cstheme="minorHAnsi"/>
                            <w:b/>
                            <w:bCs/>
                            <w:color w:val="000000" w:themeColor="text1"/>
                            <w:kern w:val="24"/>
                            <w:sz w:val="15"/>
                            <w:szCs w:val="15"/>
                            <w:lang w:val="en-US"/>
                          </w:rPr>
                          <w:br/>
                        </w:r>
                        <w:r w:rsidRPr="00554BC6">
                          <w:rPr>
                            <w:rFonts w:asciiTheme="minorHAnsi" w:eastAsia="Times New Roman" w:hAnsiTheme="minorHAnsi" w:cstheme="minorHAnsi"/>
                            <w:b/>
                            <w:bCs/>
                            <w:color w:val="000000" w:themeColor="text1"/>
                            <w:kern w:val="24"/>
                            <w:sz w:val="15"/>
                            <w:szCs w:val="15"/>
                            <w:lang w:val="en-US"/>
                          </w:rPr>
                          <w:t>profit/asset</w:t>
                        </w:r>
                      </w:p>
                    </w:txbxContent>
                  </v:textbox>
                </v:rect>
                <v:rect id="Rectangle 19491" o:spid="_x0000_s1111" style="position:absolute;left:45648;top:6430;width:5981;height:3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9o7ccA&#10;AADeAAAADwAAAGRycy9kb3ducmV2LnhtbESPT2vCQBDF7wW/wzKCt7rxD6Kpq4hQ8NKDiWCPQ3aa&#10;bJOdDdmtSfvpu4LgbYb35v3ebPeDbcSNOm8cK5hNExDEhdOGSwWX/P11DcIHZI2NY1LwSx72u9HL&#10;FlPtej7TLQuliCHsU1RQhdCmUvqiIot+6lriqH25zmKIa1dK3WEfw20j50mykhYNR0KFLR0rKurs&#10;x0Zu3ZP5vNan77nJ6nz5l68+FrlSk/FweAMRaAhP8+P6pGP9zXIzg/s7cQa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vaO3HAAAA3gAAAA8AAAAAAAAAAAAAAAAAmAIAAGRy&#10;cy9kb3ducmV2LnhtbFBLBQYAAAAABAAEAPUAAACMAwAAAAA=&#10;" fillcolor="#d9d9d6" strokecolor="#d9d9d6">
                  <v:textbox inset="1mm,,1mm">
                    <w:txbxContent>
                      <w:p w14:paraId="5F5AA906" w14:textId="77777777" w:rsidR="002536F9" w:rsidRPr="00554BC6" w:rsidRDefault="002536F9" w:rsidP="00554BC6">
                        <w:pPr>
                          <w:pStyle w:val="NormalWeb"/>
                          <w:spacing w:before="0" w:beforeAutospacing="0" w:after="0" w:afterAutospacing="0"/>
                          <w:jc w:val="center"/>
                          <w:textAlignment w:val="baseline"/>
                          <w:rPr>
                            <w:rFonts w:asciiTheme="minorHAnsi" w:hAnsiTheme="minorHAnsi" w:cstheme="minorHAnsi"/>
                            <w:b/>
                            <w:bCs/>
                            <w:color w:val="000000" w:themeColor="text1"/>
                            <w:kern w:val="24"/>
                            <w:sz w:val="15"/>
                            <w:szCs w:val="15"/>
                          </w:rPr>
                        </w:pPr>
                        <w:r w:rsidRPr="00554BC6">
                          <w:rPr>
                            <w:rFonts w:asciiTheme="minorHAnsi" w:eastAsia="Times New Roman" w:hAnsiTheme="minorHAnsi" w:cstheme="minorHAnsi"/>
                            <w:b/>
                            <w:bCs/>
                            <w:color w:val="000000" w:themeColor="text1"/>
                            <w:kern w:val="24"/>
                            <w:sz w:val="15"/>
                            <w:szCs w:val="15"/>
                            <w:lang w:val="en-US"/>
                          </w:rPr>
                          <w:t>SLV</w:t>
                        </w:r>
                        <w:r w:rsidRPr="00554BC6">
                          <w:rPr>
                            <w:rFonts w:asciiTheme="minorHAnsi" w:eastAsia="Times New Roman" w:hAnsiTheme="minorHAnsi" w:cstheme="minorHAnsi"/>
                            <w:b/>
                            <w:bCs/>
                            <w:color w:val="000000" w:themeColor="text1"/>
                            <w:kern w:val="24"/>
                            <w:sz w:val="15"/>
                            <w:szCs w:val="15"/>
                            <w:lang w:val="en-US"/>
                          </w:rPr>
                          <w:br/>
                          <w:t>loss/asset</w:t>
                        </w:r>
                      </w:p>
                    </w:txbxContent>
                  </v:textbox>
                </v:rect>
                <v:rect id="Rectangle 19492" o:spid="_x0000_s1112" style="position:absolute;left:51629;top:6430;width:5981;height:3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LGf8YA&#10;AADeAAAADwAAAGRycy9kb3ducmV2LnhtbERPS2vCQBC+F/oflil4qxuD2Ca6Sh8IXkpbK4q3SXZM&#10;QrKzYXfV9N93C4Xe5uN7zmI1mE5cyPnGsoLJOAFBXFrdcKVg97W+fwThA7LGzjIp+CYPq+XtzQJz&#10;ba/8SZdtqEQMYZ+jgjqEPpfSlzUZ9GPbE0fuZJ3BEKGrpHZ4jeGmk2mSzKTBhmNDjT291FS227NR&#10;cPx4bo+z9z1l7pUP07Qoirf2QanR3fA0BxFoCP/iP/dGx/nZNEvh9514g1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LGf8YAAADeAAAADwAAAAAAAAAAAAAAAACYAgAAZHJz&#10;L2Rvd25yZXYueG1sUEsFBgAAAAAEAAQA9QAAAIsDAAAAAA==&#10;" fillcolor="#749cc9" strokecolor="#749cc9">
                  <v:textbox inset="1mm,,1mm">
                    <w:txbxContent>
                      <w:p w14:paraId="5E54CFEB" w14:textId="77777777" w:rsidR="002536F9" w:rsidRPr="00554BC6" w:rsidRDefault="002536F9" w:rsidP="00554BC6">
                        <w:pPr>
                          <w:pStyle w:val="NormalWeb"/>
                          <w:spacing w:before="0" w:beforeAutospacing="0" w:after="0" w:afterAutospacing="0"/>
                          <w:jc w:val="center"/>
                          <w:textAlignment w:val="baseline"/>
                          <w:rPr>
                            <w:rFonts w:asciiTheme="minorHAnsi" w:hAnsiTheme="minorHAnsi" w:cstheme="minorHAnsi"/>
                            <w:b/>
                            <w:bCs/>
                            <w:color w:val="FFFFFF" w:themeColor="background1"/>
                            <w:kern w:val="24"/>
                            <w:sz w:val="15"/>
                            <w:szCs w:val="15"/>
                          </w:rPr>
                        </w:pPr>
                        <w:r w:rsidRPr="00554BC6">
                          <w:rPr>
                            <w:rFonts w:asciiTheme="minorHAnsi" w:eastAsia="Times New Roman" w:hAnsiTheme="minorHAnsi" w:cstheme="minorHAnsi"/>
                            <w:color w:val="FFFFFF" w:themeColor="background1"/>
                            <w:kern w:val="24"/>
                            <w:sz w:val="15"/>
                            <w:szCs w:val="15"/>
                            <w:lang w:val="en-US"/>
                          </w:rPr>
                          <w:t xml:space="preserve">SLV </w:t>
                        </w:r>
                        <w:r w:rsidRPr="00554BC6">
                          <w:rPr>
                            <w:rFonts w:asciiTheme="minorHAnsi" w:eastAsia="Times New Roman" w:hAnsiTheme="minorHAnsi" w:cstheme="minorHAnsi"/>
                            <w:color w:val="FFFFFF" w:themeColor="background1"/>
                            <w:kern w:val="24"/>
                            <w:sz w:val="15"/>
                            <w:szCs w:val="15"/>
                            <w:lang w:val="en-US"/>
                          </w:rPr>
                          <w:br/>
                          <w:t>liability</w:t>
                        </w:r>
                      </w:p>
                    </w:txbxContent>
                  </v:textbox>
                </v:rect>
                <v:shape id="Text Box 63" o:spid="_x0000_s1113" type="#_x0000_t202" style="position:absolute;left:5722;top:12942;width:6198;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9L1MUA&#10;AADeAAAADwAAAGRycy9kb3ducmV2LnhtbERPTUvDQBC9C/6HZYRexE6sIiZ2W6RFsPZQmnrwOGTH&#10;bDA7G7LbNP77bkHwNo/3OfPl6Fo1cB8aLxrupxkolsqbRmoNn4e3u2dQIZIYar2whl8OsFxcX82p&#10;MP4kex7KWKsUIqEgDTbGrkAMlWVHYeo7lsR9+95RTLCv0fR0SuGuxVmWPaGjRlKDpY5Xlquf8ug0&#10;rOl2LDO7+dpX2/wDhyMecLPTenIzvr6AijzGf/Gf+92k+flj/gCXd9INuD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n0vUxQAAAN4AAAAPAAAAAAAAAAAAAAAAAJgCAABkcnMv&#10;ZG93bnJldi54bWxQSwUGAAAAAAQABAD1AAAAigMAAAAA&#10;" fillcolor="window" stroked="f">
                  <v:textbox>
                    <w:txbxContent>
                      <w:p w14:paraId="41180823" w14:textId="77777777" w:rsidR="002536F9" w:rsidRPr="00554BC6" w:rsidRDefault="002536F9" w:rsidP="00F027D8">
                        <w:pPr>
                          <w:pStyle w:val="NormalWeb"/>
                          <w:tabs>
                            <w:tab w:val="right" w:pos="1800"/>
                          </w:tabs>
                          <w:spacing w:before="0" w:beforeAutospacing="0" w:after="0" w:afterAutospacing="0"/>
                          <w:jc w:val="center"/>
                          <w:textAlignment w:val="baseline"/>
                          <w:rPr>
                            <w:rFonts w:asciiTheme="minorHAnsi" w:hAnsiTheme="minorHAnsi" w:cstheme="minorHAnsi"/>
                            <w:sz w:val="12"/>
                            <w:szCs w:val="12"/>
                          </w:rPr>
                        </w:pPr>
                        <w:r w:rsidRPr="00554BC6">
                          <w:rPr>
                            <w:rFonts w:asciiTheme="minorHAnsi" w:eastAsia="Times New Roman" w:hAnsiTheme="minorHAnsi" w:cstheme="minorHAnsi"/>
                            <w:color w:val="000000" w:themeColor="text1"/>
                            <w:kern w:val="24"/>
                            <w:sz w:val="12"/>
                            <w:szCs w:val="12"/>
                            <w:lang w:val="en-US"/>
                          </w:rPr>
                          <w:t>$10 invested</w:t>
                        </w:r>
                        <w:r w:rsidRPr="00554BC6">
                          <w:rPr>
                            <w:rFonts w:asciiTheme="minorHAnsi" w:eastAsia="Times New Roman" w:hAnsiTheme="minorHAnsi" w:cstheme="minorHAnsi"/>
                            <w:color w:val="000000" w:themeColor="text1"/>
                            <w:kern w:val="24"/>
                            <w:sz w:val="12"/>
                            <w:szCs w:val="12"/>
                            <w:lang w:val="en-US"/>
                          </w:rPr>
                          <w:br/>
                          <w:t>in SAU</w:t>
                        </w:r>
                      </w:p>
                    </w:txbxContent>
                  </v:textbox>
                </v:shape>
                <v:shape id="Text Box 62" o:spid="_x0000_s1114" type="#_x0000_t202" style="position:absolute;left:23310;top:12634;width:8179;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bToMUA&#10;AADeAAAADwAAAGRycy9kb3ducmV2LnhtbERPTUvDQBC9C/6HZQQv0k4qRUzstohFsPUgTXvwOGTH&#10;bDA7G7LbNP333YLgbR7vcxar0bVq4D40XjTMphkolsqbRmoNh/375BlUiCSGWi+s4cwBVsvbmwUV&#10;xp9kx0MZa5VCJBSkwcbYFYihsuwoTH3Hkrgf3zuKCfY1mp5OKdy1+JhlT+iokdRgqeM3y9VveXQa&#10;1vQwlpndfO+qz3yLwxH3uPnS+v5ufH0BFXmM/+I/94dJ8/N5PofrO+kG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tOgxQAAAN4AAAAPAAAAAAAAAAAAAAAAAJgCAABkcnMv&#10;ZG93bnJldi54bWxQSwUGAAAAAAQABAD1AAAAigMAAAAA&#10;" fillcolor="window" stroked="f">
                  <v:textbox>
                    <w:txbxContent>
                      <w:p w14:paraId="711F63DC" w14:textId="77777777" w:rsidR="002536F9" w:rsidRPr="00554BC6" w:rsidRDefault="002536F9" w:rsidP="00F027D8">
                        <w:pPr>
                          <w:pStyle w:val="NormalWeb"/>
                          <w:tabs>
                            <w:tab w:val="right" w:pos="1800"/>
                          </w:tabs>
                          <w:spacing w:before="0" w:beforeAutospacing="0" w:after="0" w:afterAutospacing="0"/>
                          <w:jc w:val="center"/>
                          <w:textAlignment w:val="baseline"/>
                          <w:rPr>
                            <w:rFonts w:asciiTheme="minorHAnsi" w:hAnsiTheme="minorHAnsi" w:cstheme="minorHAnsi"/>
                            <w:sz w:val="12"/>
                            <w:szCs w:val="12"/>
                          </w:rPr>
                        </w:pPr>
                        <w:r w:rsidRPr="00554BC6">
                          <w:rPr>
                            <w:rFonts w:asciiTheme="minorHAnsi" w:eastAsia="Times New Roman" w:hAnsiTheme="minorHAnsi" w:cstheme="minorHAnsi"/>
                            <w:color w:val="000000" w:themeColor="text1"/>
                            <w:kern w:val="24"/>
                            <w:sz w:val="12"/>
                            <w:szCs w:val="12"/>
                            <w:lang w:val="en-US"/>
                          </w:rPr>
                          <w:t>DEDJTR deposits $10 in inter</w:t>
                        </w:r>
                        <w:r w:rsidRPr="00554BC6">
                          <w:rPr>
                            <w:rFonts w:asciiTheme="minorHAnsi" w:eastAsia="Times New Roman" w:hAnsiTheme="minorHAnsi" w:cstheme="minorHAnsi"/>
                            <w:color w:val="000000" w:themeColor="text1"/>
                            <w:kern w:val="24"/>
                            <w:sz w:val="12"/>
                            <w:szCs w:val="12"/>
                            <w:lang w:val="en-US"/>
                          </w:rPr>
                          <w:noBreakHyphen/>
                          <w:t>entity account</w:t>
                        </w:r>
                      </w:p>
                    </w:txbxContent>
                  </v:textbox>
                </v:shape>
                <v:shape id="Text Box 61" o:spid="_x0000_s1115" type="#_x0000_t202" style="position:absolute;left:33926;top:6542;width:9531;height:5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ZpMMA&#10;AADeAAAADwAAAGRycy9kb3ducmV2LnhtbERPTWvCQBC9C/0PyxR6EbOpVHFTN6EUWsRbYqHXaXZM&#10;QrOzIbvV+O/dguBtHu9ztsVke3Gi0XeONTwnKQji2pmOGw1fh4/FBoQPyAZ7x6ThQh6K/GG2xcy4&#10;M5d0qkIjYgj7DDW0IQyZlL5uyaJP3EAcuaMbLYYIx0aaEc8x3PZymaZrabHj2NDiQO8t1b/Vn9Vg&#10;05/q82KPitVefYc5l0uvSq2fHqe3VxCBpnAX39w7E+erF7WC/3fiD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EZpMMAAADeAAAADwAAAAAAAAAAAAAAAACYAgAAZHJzL2Rv&#10;d25yZXYueG1sUEsFBgAAAAAEAAQA9QAAAIgDAAAAAA==&#10;" fillcolor="window" stroked="f">
                  <v:textbox inset="1mm,1mm,1mm,1mm">
                    <w:txbxContent>
                      <w:p w14:paraId="27257DD3" w14:textId="77777777" w:rsidR="002536F9" w:rsidRPr="00554BC6" w:rsidRDefault="002536F9" w:rsidP="00F027D8">
                        <w:pPr>
                          <w:pStyle w:val="NormalWeb"/>
                          <w:spacing w:before="0" w:beforeAutospacing="0" w:after="0" w:afterAutospacing="0"/>
                          <w:jc w:val="center"/>
                          <w:textAlignment w:val="baseline"/>
                          <w:rPr>
                            <w:rFonts w:asciiTheme="minorHAnsi" w:hAnsiTheme="minorHAnsi" w:cstheme="minorHAnsi"/>
                            <w:sz w:val="12"/>
                            <w:szCs w:val="12"/>
                          </w:rPr>
                        </w:pPr>
                        <w:r w:rsidRPr="00554BC6">
                          <w:rPr>
                            <w:rFonts w:asciiTheme="minorHAnsi" w:eastAsia="Times New Roman" w:hAnsiTheme="minorHAnsi" w:cstheme="minorHAnsi"/>
                            <w:color w:val="000000" w:themeColor="text1"/>
                            <w:kern w:val="24"/>
                            <w:sz w:val="12"/>
                            <w:szCs w:val="12"/>
                            <w:lang w:val="en-US"/>
                          </w:rPr>
                          <w:t xml:space="preserve">The DEDJTR profit and </w:t>
                        </w:r>
                        <w:r w:rsidRPr="00554BC6">
                          <w:rPr>
                            <w:rFonts w:asciiTheme="minorHAnsi" w:eastAsia="Times New Roman" w:hAnsiTheme="minorHAnsi" w:cstheme="minorHAnsi"/>
                            <w:color w:val="000000" w:themeColor="text1"/>
                            <w:kern w:val="24"/>
                            <w:sz w:val="12"/>
                            <w:szCs w:val="12"/>
                            <w:lang w:val="en-US"/>
                          </w:rPr>
                          <w:br/>
                          <w:t xml:space="preserve">the SLV loss balance to zero upon consolidation </w:t>
                        </w:r>
                        <w:r w:rsidRPr="00554BC6">
                          <w:rPr>
                            <w:rFonts w:asciiTheme="minorHAnsi" w:eastAsia="Times New Roman" w:hAnsiTheme="minorHAnsi" w:cstheme="minorHAnsi"/>
                            <w:color w:val="000000" w:themeColor="text1"/>
                            <w:kern w:val="24"/>
                            <w:sz w:val="12"/>
                            <w:szCs w:val="12"/>
                            <w:lang w:val="en-US"/>
                          </w:rPr>
                          <w:br/>
                          <w:t xml:space="preserve">in the Departmental </w:t>
                        </w:r>
                        <w:r w:rsidRPr="00554BC6">
                          <w:rPr>
                            <w:rFonts w:asciiTheme="minorHAnsi" w:eastAsia="Times New Roman" w:hAnsiTheme="minorHAnsi" w:cstheme="minorHAnsi"/>
                            <w:color w:val="000000" w:themeColor="text1"/>
                            <w:kern w:val="24"/>
                            <w:sz w:val="12"/>
                            <w:szCs w:val="12"/>
                            <w:lang w:val="en-US"/>
                          </w:rPr>
                          <w:br/>
                          <w:t>financial statements</w:t>
                        </w:r>
                      </w:p>
                    </w:txbxContent>
                  </v:textbox>
                </v:shape>
                <v:line id="Straight Connector 19496" o:spid="_x0000_s1116" style="position:absolute;flip:y;visibility:visible;mso-wrap-style:square" from="11961,3934" to="23396,3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FxtcYAAADeAAAADwAAAGRycy9kb3ducmV2LnhtbERPTWvCQBC9F/wPywi91Y0SUo2uIYiF&#10;HuyhapHexuyYBLOzMbuN6b/vFgq9zeN9ziobTCN66lxtWcF0EoEgLqyuuVRwPLw8zUE4j6yxsUwK&#10;vslBth49rDDV9s7v1O99KUIIuxQVVN63qZSuqMigm9iWOHAX2xn0AXal1B3eQ7hp5CyKEmmw5tBQ&#10;YUubiorr/ssoeJ7ddqfd59k2p7yPt/3hbXP+0Eo9jod8CcLT4P/Ff+5XHeYv4kUCv++EG+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BcbXGAAAA3gAAAA8AAAAAAAAA&#10;AAAAAAAAoQIAAGRycy9kb3ducmV2LnhtbFBLBQYAAAAABAAEAPkAAACUAwAAAAA=&#10;" strokecolor="windowText">
                  <v:stroke endarrow="classic" endarrowlength="long"/>
                </v:line>
                <v:line id="Straight Connector 19497" o:spid="_x0000_s1117" style="position:absolute;visibility:visible;mso-wrap-style:square" from="34214,3934" to="45648,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LMUAAADeAAAADwAAAGRycy9kb3ducmV2LnhtbERPTWvCQBC9F/oflhF6qxtFahNdpQhi&#10;e/CgqeJxzI5JcHc2ZLea/ntXELzN433OdN5ZIy7U+tqxgkE/AUFcOF1zqeA3X75/gvABWaNxTAr+&#10;ycN89voyxUy7K2/osg2liCHsM1RQhdBkUvqiIou+7xriyJ1cazFE2JZSt3iN4dbIYZJ8SIs1x4YK&#10;G1pUVJy3f1bBz/6wGh3XtTGbNB92Lox36eqo1Fuv+5qACNSFp/jh/tZxfjpKx3B/J9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rLMUAAADeAAAADwAAAAAAAAAA&#10;AAAAAAChAgAAZHJzL2Rvd25yZXYueG1sUEsFBgAAAAAEAAQA+QAAAJMDAAAAAA==&#10;" strokecolor="windowText">
                  <v:stroke endarrow="classic" endarrowlength="long"/>
                </v:line>
                <w10:anchorlock/>
              </v:group>
            </w:pict>
          </mc:Fallback>
        </mc:AlternateContent>
      </w:r>
    </w:p>
    <w:p w14:paraId="21EE6465" w14:textId="77777777" w:rsidR="00D12E74" w:rsidRDefault="00D12E74" w:rsidP="005476DA"/>
    <w:p w14:paraId="518E2838" w14:textId="77777777" w:rsidR="001D728D" w:rsidRDefault="001D728D" w:rsidP="001D728D"/>
    <w:p w14:paraId="55A9C8A8" w14:textId="77777777" w:rsidR="001D728D" w:rsidRDefault="001D728D" w:rsidP="001D728D">
      <w:pPr>
        <w:sectPr w:rsidR="001D728D" w:rsidSect="00A63ED1">
          <w:headerReference w:type="even" r:id="rId44"/>
          <w:headerReference w:type="default" r:id="rId45"/>
          <w:footerReference w:type="even" r:id="rId46"/>
          <w:footerReference w:type="default" r:id="rId47"/>
          <w:headerReference w:type="first" r:id="rId48"/>
          <w:pgSz w:w="11906" w:h="16838" w:code="9"/>
          <w:pgMar w:top="2160" w:right="1440" w:bottom="1980" w:left="1440" w:header="706" w:footer="461" w:gutter="0"/>
          <w:cols w:space="708"/>
          <w:docGrid w:linePitch="360"/>
        </w:sectPr>
      </w:pPr>
    </w:p>
    <w:p w14:paraId="6D83A67A" w14:textId="77777777" w:rsidR="00014213" w:rsidRPr="00D2312F" w:rsidRDefault="00014213" w:rsidP="00D2312F"/>
    <w:sectPr w:rsidR="00014213" w:rsidRPr="00D2312F" w:rsidSect="00A63ED1">
      <w:headerReference w:type="even" r:id="rId49"/>
      <w:headerReference w:type="default" r:id="rId50"/>
      <w:footerReference w:type="even" r:id="rId51"/>
      <w:footerReference w:type="default" r:id="rId52"/>
      <w:headerReference w:type="first" r:id="rId53"/>
      <w:type w:val="evenPage"/>
      <w:pgSz w:w="11906" w:h="16838" w:code="9"/>
      <w:pgMar w:top="2160" w:right="1440" w:bottom="1440" w:left="1440" w:header="706" w:footer="461"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779DA" w15:done="0"/>
  <w15:commentEx w15:paraId="63612D17" w15:done="0"/>
  <w15:commentEx w15:paraId="0AB45C63" w15:done="0"/>
  <w15:commentEx w15:paraId="1C7F625A" w15:done="0"/>
  <w15:commentEx w15:paraId="38FC6C44" w15:done="0"/>
  <w15:commentEx w15:paraId="4D1AE8AF" w15:done="0"/>
  <w15:commentEx w15:paraId="2D21D1CD" w15:done="0"/>
  <w15:commentEx w15:paraId="47C474A9" w15:done="0"/>
  <w15:commentEx w15:paraId="782AA57D" w15:done="0"/>
  <w15:commentEx w15:paraId="100B4885" w15:done="0"/>
  <w15:commentEx w15:paraId="7FAC33A0" w15:done="0"/>
  <w15:commentEx w15:paraId="4E37EEB8" w15:done="0"/>
  <w15:commentEx w15:paraId="4413AC97" w15:done="0"/>
  <w15:commentEx w15:paraId="3790B736" w15:done="0"/>
  <w15:commentEx w15:paraId="6E81C693" w15:done="0"/>
  <w15:commentEx w15:paraId="511EEFC1" w15:done="0"/>
  <w15:commentEx w15:paraId="1F708B62" w15:done="0"/>
  <w15:commentEx w15:paraId="430DA241" w15:done="0"/>
  <w15:commentEx w15:paraId="3A762504" w15:done="0"/>
  <w15:commentEx w15:paraId="73A0D067" w15:done="0"/>
  <w15:commentEx w15:paraId="5F1B157F" w15:done="0"/>
  <w15:commentEx w15:paraId="2FFA3EF7" w15:done="0"/>
  <w15:commentEx w15:paraId="7FB794B3" w15:done="0"/>
  <w15:commentEx w15:paraId="2AA82464" w15:done="0"/>
  <w15:commentEx w15:paraId="179A9D5F" w15:done="0"/>
  <w15:commentEx w15:paraId="2E9E82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DC07C" w14:textId="77777777" w:rsidR="002536F9" w:rsidRDefault="002536F9" w:rsidP="002D711A">
      <w:pPr>
        <w:spacing w:after="0" w:line="240" w:lineRule="auto"/>
      </w:pPr>
      <w:r>
        <w:separator/>
      </w:r>
    </w:p>
  </w:endnote>
  <w:endnote w:type="continuationSeparator" w:id="0">
    <w:p w14:paraId="288C7669" w14:textId="77777777" w:rsidR="002536F9" w:rsidRDefault="002536F9"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8B87F" w14:textId="77777777" w:rsidR="002536F9" w:rsidRDefault="002536F9" w:rsidP="00CB3976">
    <w:pPr>
      <w:pStyle w:val="Spacer"/>
    </w:pPr>
  </w:p>
  <w:p w14:paraId="023ABCE7" w14:textId="77777777" w:rsidR="002536F9" w:rsidRDefault="002536F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C2F1" w14:textId="77777777" w:rsidR="002536F9" w:rsidRPr="001E31FA" w:rsidRDefault="002536F9" w:rsidP="001E31FA">
    <w:pPr>
      <w:pStyle w:val="Spacer"/>
    </w:pPr>
  </w:p>
  <w:p w14:paraId="084F8BFE" w14:textId="679A28FF" w:rsidR="002536F9" w:rsidRPr="00B47296" w:rsidRDefault="002536F9" w:rsidP="00C022F9">
    <w:pPr>
      <w:pStyle w:val="Footer"/>
      <w:rPr>
        <w:sz w:val="16"/>
      </w:rPr>
    </w:pPr>
    <w:r w:rsidRPr="00B47296">
      <w:rPr>
        <w:sz w:val="16"/>
      </w:rPr>
      <w:t xml:space="preserve">Page </w:t>
    </w:r>
    <w:r w:rsidRPr="00B47296">
      <w:rPr>
        <w:rStyle w:val="PageNumber"/>
        <w:sz w:val="16"/>
      </w:rPr>
      <w:fldChar w:fldCharType="begin"/>
    </w:r>
    <w:r w:rsidRPr="00B47296">
      <w:rPr>
        <w:rStyle w:val="PageNumber"/>
        <w:sz w:val="16"/>
      </w:rPr>
      <w:instrText xml:space="preserve"> Page </w:instrText>
    </w:r>
    <w:r w:rsidRPr="00B47296">
      <w:rPr>
        <w:rStyle w:val="PageNumber"/>
        <w:sz w:val="16"/>
      </w:rPr>
      <w:fldChar w:fldCharType="separate"/>
    </w:r>
    <w:r w:rsidR="0064051A">
      <w:rPr>
        <w:rStyle w:val="PageNumber"/>
        <w:sz w:val="16"/>
      </w:rPr>
      <w:t>74</w:t>
    </w:r>
    <w:r w:rsidRPr="00B47296">
      <w:rPr>
        <w:rStyle w:val="PageNumber"/>
        <w:sz w:val="16"/>
      </w:rPr>
      <w:fldChar w:fldCharType="end"/>
    </w:r>
    <w:r w:rsidRPr="00B47296">
      <w:rPr>
        <w:rStyle w:val="PageNumber"/>
        <w:sz w:val="16"/>
      </w:rPr>
      <w:tab/>
    </w:r>
    <w:r w:rsidRPr="00B47296">
      <w:rPr>
        <w:b/>
        <w:noProof w:val="0"/>
        <w:color w:val="0063A6" w:themeColor="accent1"/>
        <w:sz w:val="16"/>
      </w:rPr>
      <w:fldChar w:fldCharType="begin"/>
    </w:r>
    <w:r w:rsidRPr="00B47296">
      <w:rPr>
        <w:b/>
        <w:color w:val="0063A6" w:themeColor="accent1"/>
        <w:sz w:val="16"/>
      </w:rPr>
      <w:instrText xml:space="preserve"> StyleRef “Title” </w:instrText>
    </w:r>
    <w:r w:rsidRPr="00B47296">
      <w:rPr>
        <w:b/>
        <w:noProof w:val="0"/>
        <w:color w:val="0063A6" w:themeColor="accent1"/>
        <w:sz w:val="16"/>
      </w:rPr>
      <w:fldChar w:fldCharType="separate"/>
    </w:r>
    <w:r w:rsidR="0064051A">
      <w:rPr>
        <w:b/>
        <w:color w:val="0063A6" w:themeColor="accent1"/>
        <w:sz w:val="16"/>
      </w:rPr>
      <w:t>Budget Operations Framework</w:t>
    </w:r>
    <w:r w:rsidRPr="00B47296">
      <w:rPr>
        <w:b/>
        <w:color w:val="0063A6" w:themeColor="accent1"/>
        <w:sz w:val="16"/>
      </w:rPr>
      <w:fldChar w:fldCharType="end"/>
    </w:r>
    <w:r>
      <w:rPr>
        <w:b/>
        <w:color w:val="0063A6" w:themeColor="accent1"/>
        <w:sz w:val="16"/>
      </w:rPr>
      <w:t xml:space="preserve"> </w:t>
    </w:r>
    <w:r>
      <w:rPr>
        <w:sz w:val="16"/>
      </w:rPr>
      <w:t>f</w:t>
    </w:r>
    <w:r w:rsidRPr="00B47296">
      <w:rPr>
        <w:sz w:val="16"/>
      </w:rPr>
      <w:t>or Victorian Government Departments,</w:t>
    </w:r>
    <w:r w:rsidRPr="00B47296">
      <w:rPr>
        <w:noProof w:val="0"/>
        <w:sz w:val="16"/>
      </w:rPr>
      <w:t xml:space="preserve"> </w:t>
    </w:r>
    <w:r w:rsidRPr="00B47296">
      <w:rPr>
        <w:noProof w:val="0"/>
        <w:sz w:val="16"/>
      </w:rPr>
      <w:fldChar w:fldCharType="begin"/>
    </w:r>
    <w:r w:rsidRPr="00B47296">
      <w:rPr>
        <w:sz w:val="16"/>
      </w:rPr>
      <w:instrText xml:space="preserve"> StyleRef “Tertiary Title” </w:instrText>
    </w:r>
    <w:r w:rsidRPr="00B47296">
      <w:rPr>
        <w:noProof w:val="0"/>
        <w:sz w:val="16"/>
      </w:rPr>
      <w:fldChar w:fldCharType="separate"/>
    </w:r>
    <w:r w:rsidR="0064051A">
      <w:rPr>
        <w:sz w:val="16"/>
      </w:rPr>
      <w:t>Updated February 2017</w:t>
    </w:r>
    <w:r w:rsidRPr="00B47296">
      <w:rPr>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FF50" w14:textId="77777777" w:rsidR="002536F9" w:rsidRDefault="002536F9" w:rsidP="00165E66">
    <w:pPr>
      <w:pStyle w:val="Spacer"/>
    </w:pPr>
  </w:p>
  <w:p w14:paraId="251C9E78" w14:textId="11890764" w:rsidR="002536F9" w:rsidRPr="00B47296" w:rsidRDefault="002536F9" w:rsidP="00165E66">
    <w:pPr>
      <w:pStyle w:val="Footer"/>
      <w:rPr>
        <w:sz w:val="16"/>
      </w:rPr>
    </w:pPr>
    <w:r w:rsidRPr="00B47296">
      <w:rPr>
        <w:b/>
        <w:noProof w:val="0"/>
        <w:color w:val="0063A6" w:themeColor="accent1"/>
        <w:sz w:val="16"/>
      </w:rPr>
      <w:fldChar w:fldCharType="begin"/>
    </w:r>
    <w:r w:rsidRPr="00B47296">
      <w:rPr>
        <w:b/>
        <w:color w:val="0063A6" w:themeColor="accent1"/>
        <w:sz w:val="16"/>
      </w:rPr>
      <w:instrText xml:space="preserve"> StyleRef “Title” </w:instrText>
    </w:r>
    <w:r w:rsidRPr="00B47296">
      <w:rPr>
        <w:b/>
        <w:noProof w:val="0"/>
        <w:color w:val="0063A6" w:themeColor="accent1"/>
        <w:sz w:val="16"/>
      </w:rPr>
      <w:fldChar w:fldCharType="separate"/>
    </w:r>
    <w:r w:rsidR="0064051A">
      <w:rPr>
        <w:b/>
        <w:color w:val="0063A6" w:themeColor="accent1"/>
        <w:sz w:val="16"/>
      </w:rPr>
      <w:t>Budget Operations Framework</w:t>
    </w:r>
    <w:r w:rsidRPr="00B47296">
      <w:rPr>
        <w:b/>
        <w:color w:val="0063A6" w:themeColor="accent1"/>
        <w:sz w:val="16"/>
      </w:rPr>
      <w:fldChar w:fldCharType="end"/>
    </w:r>
    <w:r>
      <w:rPr>
        <w:b/>
        <w:color w:val="0063A6" w:themeColor="accent1"/>
        <w:sz w:val="16"/>
      </w:rPr>
      <w:t xml:space="preserve"> </w:t>
    </w:r>
    <w:r>
      <w:rPr>
        <w:sz w:val="16"/>
      </w:rPr>
      <w:t>f</w:t>
    </w:r>
    <w:r w:rsidRPr="00B47296">
      <w:rPr>
        <w:sz w:val="16"/>
      </w:rPr>
      <w:t>or Victorian Government Departments,</w:t>
    </w:r>
    <w:r w:rsidRPr="00B47296">
      <w:rPr>
        <w:noProof w:val="0"/>
        <w:sz w:val="16"/>
      </w:rPr>
      <w:t xml:space="preserve"> </w:t>
    </w:r>
    <w:r w:rsidRPr="00B47296">
      <w:rPr>
        <w:noProof w:val="0"/>
        <w:sz w:val="16"/>
      </w:rPr>
      <w:fldChar w:fldCharType="begin"/>
    </w:r>
    <w:r w:rsidRPr="00B47296">
      <w:rPr>
        <w:sz w:val="16"/>
      </w:rPr>
      <w:instrText xml:space="preserve"> StyleRef “Tertiary Title” </w:instrText>
    </w:r>
    <w:r w:rsidRPr="00B47296">
      <w:rPr>
        <w:noProof w:val="0"/>
        <w:sz w:val="16"/>
      </w:rPr>
      <w:fldChar w:fldCharType="separate"/>
    </w:r>
    <w:r w:rsidR="0064051A">
      <w:rPr>
        <w:sz w:val="16"/>
      </w:rPr>
      <w:t>Updated February 2017</w:t>
    </w:r>
    <w:r w:rsidRPr="00B47296">
      <w:rPr>
        <w:sz w:val="16"/>
      </w:rPr>
      <w:fldChar w:fldCharType="end"/>
    </w:r>
    <w:r w:rsidRPr="00B47296">
      <w:rPr>
        <w:sz w:val="16"/>
      </w:rPr>
      <w:tab/>
      <w:t xml:space="preserve">Page </w:t>
    </w:r>
    <w:r w:rsidRPr="00B47296">
      <w:rPr>
        <w:rStyle w:val="PageNumber"/>
        <w:sz w:val="16"/>
      </w:rPr>
      <w:fldChar w:fldCharType="begin"/>
    </w:r>
    <w:r w:rsidRPr="00B47296">
      <w:rPr>
        <w:rStyle w:val="PageNumber"/>
        <w:sz w:val="16"/>
      </w:rPr>
      <w:instrText xml:space="preserve"> Page </w:instrText>
    </w:r>
    <w:r w:rsidRPr="00B47296">
      <w:rPr>
        <w:rStyle w:val="PageNumber"/>
        <w:sz w:val="16"/>
      </w:rPr>
      <w:fldChar w:fldCharType="separate"/>
    </w:r>
    <w:r w:rsidR="0064051A">
      <w:rPr>
        <w:rStyle w:val="PageNumber"/>
        <w:sz w:val="16"/>
      </w:rPr>
      <w:t>73</w:t>
    </w:r>
    <w:r w:rsidRPr="00B47296">
      <w:rPr>
        <w:rStyle w:val="PageNumber"/>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310F7" w14:textId="77777777" w:rsidR="002536F9" w:rsidRPr="00014213" w:rsidRDefault="002536F9" w:rsidP="00C022F9">
    <w:pPr>
      <w:pStyle w:val="Footer"/>
    </w:pPr>
    <w:r>
      <w:drawing>
        <wp:anchor distT="0" distB="0" distL="114300" distR="114300" simplePos="0" relativeHeight="251657216" behindDoc="0" locked="0" layoutInCell="1" allowOverlap="1" wp14:anchorId="5397559B" wp14:editId="6FBC0D92">
          <wp:simplePos x="0" y="0"/>
          <wp:positionH relativeFrom="column">
            <wp:posOffset>4256126</wp:posOffset>
          </wp:positionH>
          <wp:positionV relativeFrom="page">
            <wp:posOffset>9493250</wp:posOffset>
          </wp:positionV>
          <wp:extent cx="1956435" cy="582930"/>
          <wp:effectExtent l="0" t="0" r="5715" b="7620"/>
          <wp:wrapNone/>
          <wp:docPr id="1975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D070D" w14:textId="77777777" w:rsidR="002536F9" w:rsidRDefault="002536F9" w:rsidP="00CB3976">
    <w:pPr>
      <w:pStyle w:val="Spacer"/>
    </w:pPr>
  </w:p>
  <w:p w14:paraId="2C348292" w14:textId="77777777" w:rsidR="002536F9" w:rsidRPr="00CB3976" w:rsidRDefault="002536F9" w:rsidP="00CB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45E6" w14:textId="77777777" w:rsidR="002536F9" w:rsidRDefault="002536F9" w:rsidP="00CB3976">
    <w:pPr>
      <w:pStyle w:val="Spacer"/>
    </w:pPr>
  </w:p>
  <w:p w14:paraId="444C7C65" w14:textId="77777777" w:rsidR="002536F9" w:rsidRDefault="002536F9" w:rsidP="00C022F9">
    <w:pPr>
      <w:pStyle w:val="Footer"/>
    </w:pPr>
    <w:r>
      <w:drawing>
        <wp:anchor distT="0" distB="0" distL="114300" distR="114300" simplePos="0" relativeHeight="251655168" behindDoc="0" locked="0" layoutInCell="1" allowOverlap="1" wp14:anchorId="60A254B7" wp14:editId="4E98CB5E">
          <wp:simplePos x="0" y="0"/>
          <wp:positionH relativeFrom="column">
            <wp:posOffset>4224020</wp:posOffset>
          </wp:positionH>
          <wp:positionV relativeFrom="page">
            <wp:posOffset>9498330</wp:posOffset>
          </wp:positionV>
          <wp:extent cx="1956435" cy="582930"/>
          <wp:effectExtent l="0" t="0" r="5715" b="7620"/>
          <wp:wrapNone/>
          <wp:docPr id="1975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F214" w14:textId="77777777" w:rsidR="002536F9" w:rsidRDefault="002536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F2A65" w14:textId="77777777" w:rsidR="002536F9" w:rsidRDefault="002536F9" w:rsidP="00A47634">
    <w:pPr>
      <w:pStyle w:val="Spacer"/>
    </w:pPr>
  </w:p>
  <w:p w14:paraId="4C3A340A" w14:textId="77777777" w:rsidR="002536F9" w:rsidRPr="00297281" w:rsidRDefault="002536F9"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0A3679">
      <w:rPr>
        <w:rStyle w:val="PageNumber"/>
      </w:rPr>
      <w:t>ii</w:t>
    </w:r>
    <w:r w:rsidRPr="00297281">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024F7" w14:textId="77777777" w:rsidR="002536F9" w:rsidRPr="00CB3976" w:rsidRDefault="002536F9" w:rsidP="00CB3976">
    <w:pPr>
      <w:pStyle w:val="Spacer"/>
    </w:pPr>
  </w:p>
  <w:p w14:paraId="7086D7F1" w14:textId="77777777" w:rsidR="002536F9" w:rsidRPr="00297281" w:rsidRDefault="002536F9"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0A3679">
      <w:rPr>
        <w:rStyle w:val="PageNumber"/>
      </w:rPr>
      <w:t>iii</w:t>
    </w:r>
    <w:r w:rsidRPr="00297281">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9A5B" w14:textId="77777777" w:rsidR="002536F9" w:rsidRPr="001E31FA" w:rsidRDefault="002536F9" w:rsidP="001E31FA">
    <w:pPr>
      <w:pStyle w:val="Spacer"/>
    </w:pPr>
  </w:p>
  <w:p w14:paraId="305B4F99" w14:textId="2D88A9A0" w:rsidR="002536F9" w:rsidRPr="000B672C" w:rsidRDefault="002536F9" w:rsidP="00C022F9">
    <w:pPr>
      <w:pStyle w:val="Footer"/>
      <w:rPr>
        <w:sz w:val="16"/>
      </w:rPr>
    </w:pPr>
    <w:r w:rsidRPr="000B672C">
      <w:rPr>
        <w:sz w:val="16"/>
      </w:rPr>
      <w:t xml:space="preserve">Page </w:t>
    </w:r>
    <w:r w:rsidRPr="000B672C">
      <w:rPr>
        <w:rStyle w:val="PageNumber"/>
        <w:sz w:val="16"/>
      </w:rPr>
      <w:fldChar w:fldCharType="begin"/>
    </w:r>
    <w:r w:rsidRPr="000B672C">
      <w:rPr>
        <w:rStyle w:val="PageNumber"/>
        <w:sz w:val="16"/>
      </w:rPr>
      <w:instrText xml:space="preserve"> Page </w:instrText>
    </w:r>
    <w:r w:rsidRPr="000B672C">
      <w:rPr>
        <w:rStyle w:val="PageNumber"/>
        <w:sz w:val="16"/>
      </w:rPr>
      <w:fldChar w:fldCharType="separate"/>
    </w:r>
    <w:r w:rsidR="000A3679">
      <w:rPr>
        <w:rStyle w:val="PageNumber"/>
        <w:sz w:val="16"/>
      </w:rPr>
      <w:t>68</w:t>
    </w:r>
    <w:r w:rsidRPr="000B672C">
      <w:rPr>
        <w:rStyle w:val="PageNumber"/>
        <w:sz w:val="16"/>
      </w:rPr>
      <w:fldChar w:fldCharType="end"/>
    </w:r>
    <w:r w:rsidRPr="000B672C">
      <w:rPr>
        <w:rStyle w:val="PageNumber"/>
        <w:sz w:val="16"/>
      </w:rPr>
      <w:tab/>
    </w:r>
    <w:r w:rsidRPr="000B672C">
      <w:rPr>
        <w:b/>
        <w:noProof w:val="0"/>
        <w:color w:val="0063A6" w:themeColor="accent1"/>
        <w:sz w:val="16"/>
      </w:rPr>
      <w:fldChar w:fldCharType="begin"/>
    </w:r>
    <w:r w:rsidRPr="000B672C">
      <w:rPr>
        <w:b/>
        <w:color w:val="0063A6" w:themeColor="accent1"/>
        <w:sz w:val="16"/>
      </w:rPr>
      <w:instrText xml:space="preserve"> StyleRef “Title” </w:instrText>
    </w:r>
    <w:r w:rsidRPr="000B672C">
      <w:rPr>
        <w:b/>
        <w:noProof w:val="0"/>
        <w:color w:val="0063A6" w:themeColor="accent1"/>
        <w:sz w:val="16"/>
      </w:rPr>
      <w:fldChar w:fldCharType="separate"/>
    </w:r>
    <w:r w:rsidR="000A3679">
      <w:rPr>
        <w:b/>
        <w:color w:val="0063A6" w:themeColor="accent1"/>
        <w:sz w:val="16"/>
      </w:rPr>
      <w:t>Budget Operations Framework</w:t>
    </w:r>
    <w:r w:rsidRPr="000B672C">
      <w:rPr>
        <w:b/>
        <w:color w:val="0063A6" w:themeColor="accent1"/>
        <w:sz w:val="16"/>
      </w:rPr>
      <w:fldChar w:fldCharType="end"/>
    </w:r>
    <w:r w:rsidRPr="00857677">
      <w:rPr>
        <w:sz w:val="16"/>
        <w:szCs w:val="16"/>
      </w:rPr>
      <w:t xml:space="preserve"> </w:t>
    </w:r>
    <w:r w:rsidRPr="000B672C">
      <w:rPr>
        <w:sz w:val="16"/>
        <w:szCs w:val="16"/>
      </w:rPr>
      <w:t>for Victorian Government Departments</w:t>
    </w:r>
    <w:r w:rsidRPr="000B672C">
      <w:rPr>
        <w:sz w:val="16"/>
      </w:rPr>
      <w:t xml:space="preserve">, </w:t>
    </w:r>
    <w:r w:rsidRPr="000B672C">
      <w:rPr>
        <w:noProof w:val="0"/>
        <w:sz w:val="16"/>
      </w:rPr>
      <w:fldChar w:fldCharType="begin"/>
    </w:r>
    <w:r w:rsidRPr="000B672C">
      <w:rPr>
        <w:sz w:val="16"/>
      </w:rPr>
      <w:instrText xml:space="preserve"> StyleRef “Tertiary Title” </w:instrText>
    </w:r>
    <w:r w:rsidRPr="000B672C">
      <w:rPr>
        <w:noProof w:val="0"/>
        <w:sz w:val="16"/>
      </w:rPr>
      <w:fldChar w:fldCharType="separate"/>
    </w:r>
    <w:r w:rsidR="000A3679">
      <w:rPr>
        <w:sz w:val="16"/>
      </w:rPr>
      <w:t>Updated February 2017</w:t>
    </w:r>
    <w:r w:rsidRPr="000B672C">
      <w:rP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A5DCE" w14:textId="77777777" w:rsidR="002536F9" w:rsidRDefault="002536F9" w:rsidP="00165E66">
    <w:pPr>
      <w:pStyle w:val="Spacer"/>
    </w:pPr>
  </w:p>
  <w:p w14:paraId="439D6B92" w14:textId="08DBB375" w:rsidR="002536F9" w:rsidRPr="000B672C" w:rsidRDefault="002536F9" w:rsidP="00165E66">
    <w:pPr>
      <w:pStyle w:val="Footer"/>
      <w:rPr>
        <w:sz w:val="16"/>
        <w:szCs w:val="16"/>
      </w:rPr>
    </w:pPr>
    <w:r w:rsidRPr="000B672C">
      <w:rPr>
        <w:b/>
        <w:noProof w:val="0"/>
        <w:color w:val="0063A6" w:themeColor="accent1"/>
        <w:sz w:val="16"/>
        <w:szCs w:val="16"/>
      </w:rPr>
      <w:fldChar w:fldCharType="begin"/>
    </w:r>
    <w:r w:rsidRPr="000B672C">
      <w:rPr>
        <w:b/>
        <w:color w:val="0063A6" w:themeColor="accent1"/>
        <w:sz w:val="16"/>
        <w:szCs w:val="16"/>
      </w:rPr>
      <w:instrText xml:space="preserve"> StyleRef “Title” </w:instrText>
    </w:r>
    <w:r w:rsidRPr="000B672C">
      <w:rPr>
        <w:b/>
        <w:noProof w:val="0"/>
        <w:color w:val="0063A6" w:themeColor="accent1"/>
        <w:sz w:val="16"/>
        <w:szCs w:val="16"/>
      </w:rPr>
      <w:fldChar w:fldCharType="separate"/>
    </w:r>
    <w:r w:rsidR="000A3679">
      <w:rPr>
        <w:b/>
        <w:color w:val="0063A6" w:themeColor="accent1"/>
        <w:sz w:val="16"/>
        <w:szCs w:val="16"/>
      </w:rPr>
      <w:t>Budget Operations Framework</w:t>
    </w:r>
    <w:r w:rsidRPr="000B672C">
      <w:rPr>
        <w:b/>
        <w:color w:val="0063A6" w:themeColor="accent1"/>
        <w:sz w:val="16"/>
        <w:szCs w:val="16"/>
      </w:rPr>
      <w:fldChar w:fldCharType="end"/>
    </w:r>
    <w:r w:rsidRPr="000B672C">
      <w:rPr>
        <w:sz w:val="16"/>
        <w:szCs w:val="16"/>
      </w:rPr>
      <w:t xml:space="preserve"> for Victorian Government Departments, </w:t>
    </w:r>
    <w:r w:rsidRPr="000B672C">
      <w:rPr>
        <w:noProof w:val="0"/>
        <w:sz w:val="16"/>
        <w:szCs w:val="16"/>
      </w:rPr>
      <w:fldChar w:fldCharType="begin"/>
    </w:r>
    <w:r w:rsidRPr="000B672C">
      <w:rPr>
        <w:noProof w:val="0"/>
        <w:sz w:val="16"/>
        <w:szCs w:val="16"/>
      </w:rPr>
      <w:instrText xml:space="preserve"> STYLEREF  "Tertiary Title" </w:instrText>
    </w:r>
    <w:r w:rsidRPr="000B672C">
      <w:rPr>
        <w:noProof w:val="0"/>
        <w:sz w:val="16"/>
        <w:szCs w:val="16"/>
      </w:rPr>
      <w:fldChar w:fldCharType="separate"/>
    </w:r>
    <w:r w:rsidR="000A3679">
      <w:rPr>
        <w:sz w:val="16"/>
        <w:szCs w:val="16"/>
      </w:rPr>
      <w:t>Updated February 2017</w:t>
    </w:r>
    <w:r w:rsidRPr="000B672C">
      <w:rPr>
        <w:noProof w:val="0"/>
        <w:sz w:val="16"/>
        <w:szCs w:val="16"/>
      </w:rPr>
      <w:fldChar w:fldCharType="end"/>
    </w:r>
    <w:r w:rsidRPr="000B672C">
      <w:rPr>
        <w:sz w:val="16"/>
        <w:szCs w:val="16"/>
      </w:rPr>
      <w:tab/>
      <w:t xml:space="preserve">Page </w:t>
    </w:r>
    <w:r w:rsidRPr="000B672C">
      <w:rPr>
        <w:rStyle w:val="PageNumber"/>
        <w:sz w:val="16"/>
        <w:szCs w:val="16"/>
      </w:rPr>
      <w:fldChar w:fldCharType="begin"/>
    </w:r>
    <w:r w:rsidRPr="000B672C">
      <w:rPr>
        <w:rStyle w:val="PageNumber"/>
        <w:sz w:val="16"/>
        <w:szCs w:val="16"/>
      </w:rPr>
      <w:instrText xml:space="preserve"> Page </w:instrText>
    </w:r>
    <w:r w:rsidRPr="000B672C">
      <w:rPr>
        <w:rStyle w:val="PageNumber"/>
        <w:sz w:val="16"/>
        <w:szCs w:val="16"/>
      </w:rPr>
      <w:fldChar w:fldCharType="separate"/>
    </w:r>
    <w:r w:rsidR="000A3679">
      <w:rPr>
        <w:rStyle w:val="PageNumber"/>
        <w:sz w:val="16"/>
        <w:szCs w:val="16"/>
      </w:rPr>
      <w:t>69</w:t>
    </w:r>
    <w:r w:rsidRPr="000B672C">
      <w:rPr>
        <w:rStyle w:val="PageNumber"/>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B7BDD" w14:textId="77777777" w:rsidR="002536F9" w:rsidRPr="001E31FA" w:rsidRDefault="002536F9" w:rsidP="001E31FA">
    <w:pPr>
      <w:pStyle w:val="Spacer"/>
    </w:pPr>
  </w:p>
  <w:p w14:paraId="3DEBBDE7" w14:textId="112DB73C" w:rsidR="002536F9" w:rsidRPr="0080435B" w:rsidRDefault="002536F9" w:rsidP="0080435B">
    <w:pPr>
      <w:pStyle w:val="Footer"/>
      <w:tabs>
        <w:tab w:val="clear" w:pos="9026"/>
        <w:tab w:val="right" w:pos="12690"/>
      </w:tabs>
    </w:pPr>
    <w:r w:rsidRPr="0080435B">
      <w:t xml:space="preserve">Page </w:t>
    </w:r>
    <w:r w:rsidRPr="0080435B">
      <w:rPr>
        <w:rStyle w:val="PageNumber"/>
      </w:rPr>
      <w:fldChar w:fldCharType="begin"/>
    </w:r>
    <w:r w:rsidRPr="0080435B">
      <w:rPr>
        <w:rStyle w:val="PageNumber"/>
      </w:rPr>
      <w:instrText xml:space="preserve"> Page </w:instrText>
    </w:r>
    <w:r w:rsidRPr="0080435B">
      <w:rPr>
        <w:rStyle w:val="PageNumber"/>
      </w:rPr>
      <w:fldChar w:fldCharType="separate"/>
    </w:r>
    <w:r w:rsidR="0064051A">
      <w:rPr>
        <w:rStyle w:val="PageNumber"/>
      </w:rPr>
      <w:t>70</w:t>
    </w:r>
    <w:r w:rsidRPr="0080435B">
      <w:rPr>
        <w:rStyle w:val="PageNumber"/>
      </w:rPr>
      <w:fldChar w:fldCharType="end"/>
    </w:r>
    <w:r w:rsidRPr="0080435B">
      <w:rPr>
        <w:rStyle w:val="PageNumber"/>
      </w:rPr>
      <w:tab/>
    </w:r>
    <w:r w:rsidRPr="0080435B">
      <w:rPr>
        <w:b/>
        <w:noProof w:val="0"/>
        <w:color w:val="0063A6" w:themeColor="accent1"/>
      </w:rPr>
      <w:fldChar w:fldCharType="begin"/>
    </w:r>
    <w:r w:rsidRPr="0080435B">
      <w:rPr>
        <w:b/>
        <w:color w:val="0063A6" w:themeColor="accent1"/>
      </w:rPr>
      <w:instrText xml:space="preserve"> StyleRef “Title” </w:instrText>
    </w:r>
    <w:r w:rsidRPr="0080435B">
      <w:rPr>
        <w:b/>
        <w:noProof w:val="0"/>
        <w:color w:val="0063A6" w:themeColor="accent1"/>
      </w:rPr>
      <w:fldChar w:fldCharType="separate"/>
    </w:r>
    <w:r w:rsidR="0064051A">
      <w:rPr>
        <w:b/>
        <w:color w:val="0063A6" w:themeColor="accent1"/>
      </w:rPr>
      <w:t>Budget Operations Framework</w:t>
    </w:r>
    <w:r w:rsidRPr="0080435B">
      <w:rPr>
        <w:b/>
        <w:color w:val="0063A6" w:themeColor="accent1"/>
      </w:rPr>
      <w:fldChar w:fldCharType="end"/>
    </w:r>
    <w:r w:rsidRPr="0080435B">
      <w:rPr>
        <w:b/>
        <w:color w:val="0063A6" w:themeColor="accent1"/>
      </w:rPr>
      <w:t xml:space="preserve">  </w:t>
    </w:r>
    <w:r w:rsidRPr="0080435B">
      <w:t>for Victorian Government Departments,</w:t>
    </w:r>
    <w:r w:rsidRPr="0080435B">
      <w:rPr>
        <w:b/>
      </w:rPr>
      <w:t xml:space="preserve"> </w:t>
    </w:r>
    <w:r w:rsidRPr="0080435B">
      <w:rPr>
        <w:noProof w:val="0"/>
      </w:rPr>
      <w:fldChar w:fldCharType="begin"/>
    </w:r>
    <w:r w:rsidRPr="0080435B">
      <w:instrText xml:space="preserve"> StyleRef “Tertiary Title” </w:instrText>
    </w:r>
    <w:r w:rsidRPr="0080435B">
      <w:rPr>
        <w:noProof w:val="0"/>
      </w:rPr>
      <w:fldChar w:fldCharType="separate"/>
    </w:r>
    <w:r w:rsidR="0064051A">
      <w:t>Updated February 2017</w:t>
    </w:r>
    <w:r w:rsidRPr="0080435B">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B23C3" w14:textId="77777777" w:rsidR="002536F9" w:rsidRDefault="002536F9" w:rsidP="00165E66">
    <w:pPr>
      <w:pStyle w:val="Spacer"/>
    </w:pPr>
  </w:p>
  <w:p w14:paraId="5057BCDE" w14:textId="0F66DE77" w:rsidR="002536F9" w:rsidRPr="00C022F9" w:rsidRDefault="002536F9" w:rsidP="000F43A0">
    <w:pPr>
      <w:pStyle w:val="Footer"/>
      <w:tabs>
        <w:tab w:val="clear" w:pos="9026"/>
        <w:tab w:val="right" w:pos="12690"/>
      </w:tabs>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64051A">
      <w:rPr>
        <w:b/>
        <w:color w:val="0063A6" w:themeColor="accent1"/>
      </w:rPr>
      <w:t>Budget Operations Framework</w:t>
    </w:r>
    <w:r w:rsidRPr="00C022F9">
      <w:rPr>
        <w:b/>
        <w:color w:val="0063A6" w:themeColor="accent1"/>
      </w:rPr>
      <w:fldChar w:fldCharType="end"/>
    </w:r>
    <w:r w:rsidRPr="00C022F9">
      <w:rPr>
        <w:noProof w:val="0"/>
      </w:rPr>
      <w:fldChar w:fldCharType="begin"/>
    </w:r>
    <w:r w:rsidRPr="00C022F9">
      <w:instrText xml:space="preserve"> StyleRef “Subtitle” </w:instrText>
    </w:r>
    <w:r w:rsidRPr="00C022F9">
      <w:rPr>
        <w:noProof w:val="0"/>
      </w:rPr>
      <w:fldChar w:fldCharType="separate"/>
    </w:r>
    <w:r w:rsidR="0064051A">
      <w:t>For Victorian Government Departments</w:t>
    </w:r>
    <w:r w:rsidRPr="00C022F9">
      <w:fldChar w:fldCharType="end"/>
    </w:r>
    <w:r>
      <w:rPr>
        <w:noProof w:val="0"/>
      </w:rPr>
      <w:t xml:space="preserve"> f</w:t>
    </w:r>
    <w:r>
      <w:t>or Victorian Government Departments,</w:t>
    </w:r>
    <w:r w:rsidRPr="00C022F9">
      <w:rPr>
        <w:noProof w:val="0"/>
      </w:rPr>
      <w:t xml:space="preserve"> </w:t>
    </w:r>
    <w:r w:rsidRPr="00C022F9">
      <w:rPr>
        <w:noProof w:val="0"/>
      </w:rPr>
      <w:fldChar w:fldCharType="begin"/>
    </w:r>
    <w:r w:rsidRPr="00C022F9">
      <w:instrText xml:space="preserve"> StyleRef “Tertiary Title” </w:instrText>
    </w:r>
    <w:r w:rsidRPr="00C022F9">
      <w:rPr>
        <w:noProof w:val="0"/>
      </w:rPr>
      <w:fldChar w:fldCharType="separate"/>
    </w:r>
    <w:r w:rsidR="0064051A">
      <w:t>Updated February 2017</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64051A">
      <w:rPr>
        <w:rStyle w:val="PageNumber"/>
      </w:rPr>
      <w:t>73</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D29F3" w14:textId="77777777" w:rsidR="002536F9" w:rsidRDefault="002536F9" w:rsidP="002D711A">
      <w:pPr>
        <w:spacing w:after="0" w:line="240" w:lineRule="auto"/>
      </w:pPr>
      <w:r>
        <w:separator/>
      </w:r>
    </w:p>
  </w:footnote>
  <w:footnote w:type="continuationSeparator" w:id="0">
    <w:p w14:paraId="3640B0EA" w14:textId="77777777" w:rsidR="002536F9" w:rsidRDefault="002536F9" w:rsidP="002D711A">
      <w:pPr>
        <w:spacing w:after="0" w:line="240" w:lineRule="auto"/>
      </w:pPr>
      <w:r>
        <w:continuationSeparator/>
      </w:r>
    </w:p>
  </w:footnote>
  <w:footnote w:id="1">
    <w:p w14:paraId="6769EE10" w14:textId="77777777" w:rsidR="002536F9" w:rsidRPr="005E5298" w:rsidRDefault="002536F9" w:rsidP="005476DA">
      <w:pPr>
        <w:pStyle w:val="FootnoteText"/>
      </w:pPr>
      <w:r w:rsidRPr="005E5298">
        <w:rPr>
          <w:rStyle w:val="FootnoteReference"/>
          <w:sz w:val="18"/>
          <w:szCs w:val="18"/>
        </w:rPr>
        <w:footnoteRef/>
      </w:r>
      <w:r w:rsidRPr="005E5298">
        <w:t xml:space="preserve"> See </w:t>
      </w:r>
      <w:r w:rsidRPr="005476DA">
        <w:t>Standing</w:t>
      </w:r>
      <w:r>
        <w:t xml:space="preserve"> </w:t>
      </w:r>
      <w:r w:rsidRPr="005E5298">
        <w:t>Direction 4.3.</w:t>
      </w:r>
    </w:p>
  </w:footnote>
  <w:footnote w:id="2">
    <w:p w14:paraId="65DED771" w14:textId="513A15EA" w:rsidR="002536F9" w:rsidRPr="00FB6FF7" w:rsidRDefault="002536F9" w:rsidP="005476DA">
      <w:pPr>
        <w:pStyle w:val="FootnoteText"/>
        <w:rPr>
          <w:sz w:val="18"/>
        </w:rPr>
      </w:pPr>
      <w:r w:rsidRPr="00FB6FF7">
        <w:rPr>
          <w:rStyle w:val="FootnoteReference"/>
          <w:sz w:val="18"/>
        </w:rPr>
        <w:footnoteRef/>
      </w:r>
      <w:r w:rsidRPr="00FB6FF7">
        <w:rPr>
          <w:sz w:val="18"/>
        </w:rPr>
        <w:t xml:space="preserve"> ‘Department’ is defined </w:t>
      </w:r>
      <w:r>
        <w:rPr>
          <w:sz w:val="18"/>
        </w:rPr>
        <w:t>a</w:t>
      </w:r>
      <w:r w:rsidRPr="00FB6FF7">
        <w:rPr>
          <w:sz w:val="18"/>
        </w:rPr>
        <w:t xml:space="preserve">s having the same meaning as para (a) of </w:t>
      </w:r>
      <w:r w:rsidRPr="00FB6FF7">
        <w:rPr>
          <w:i/>
          <w:sz w:val="18"/>
        </w:rPr>
        <w:t>department</w:t>
      </w:r>
      <w:r w:rsidRPr="00FB6FF7">
        <w:rPr>
          <w:sz w:val="18"/>
        </w:rPr>
        <w:t xml:space="preserve"> in </w:t>
      </w:r>
      <w:r>
        <w:rPr>
          <w:sz w:val="18"/>
        </w:rPr>
        <w:t>s</w:t>
      </w:r>
      <w:r w:rsidRPr="00FB6FF7">
        <w:rPr>
          <w:sz w:val="18"/>
        </w:rPr>
        <w:t>ection 3 of the FMA.</w:t>
      </w:r>
    </w:p>
  </w:footnote>
  <w:footnote w:id="3">
    <w:p w14:paraId="30FBFF04" w14:textId="318153FE" w:rsidR="002536F9" w:rsidRDefault="002536F9" w:rsidP="005476DA">
      <w:pPr>
        <w:pStyle w:val="FootnoteText"/>
      </w:pPr>
      <w:r w:rsidRPr="00FB6FF7">
        <w:rPr>
          <w:rStyle w:val="FootnoteReference"/>
          <w:sz w:val="18"/>
        </w:rPr>
        <w:footnoteRef/>
      </w:r>
      <w:r w:rsidRPr="00FB6FF7">
        <w:rPr>
          <w:sz w:val="18"/>
        </w:rPr>
        <w:t xml:space="preserve"> </w:t>
      </w:r>
      <w:r>
        <w:rPr>
          <w:sz w:val="18"/>
        </w:rPr>
        <w:t xml:space="preserve">Refer to </w:t>
      </w:r>
      <w:r w:rsidRPr="00FB6FF7">
        <w:rPr>
          <w:sz w:val="18"/>
        </w:rPr>
        <w:t xml:space="preserve">Direction 4.3. </w:t>
      </w:r>
    </w:p>
  </w:footnote>
  <w:footnote w:id="4">
    <w:p w14:paraId="4E7304AF" w14:textId="77777777" w:rsidR="002536F9" w:rsidRDefault="002536F9" w:rsidP="00FD7AEF">
      <w:pPr>
        <w:pStyle w:val="FootnoteText"/>
      </w:pPr>
      <w:r>
        <w:rPr>
          <w:rStyle w:val="FootnoteReference"/>
        </w:rPr>
        <w:footnoteRef/>
      </w:r>
      <w:r>
        <w:t xml:space="preserve"> The Consolidated Fund may be viewed as</w:t>
      </w:r>
      <w:r w:rsidRPr="007847CC">
        <w:t xml:space="preserve"> a set of bank accounts owned and operated by Government. Together, the Consolidated Fund and the Trust Fund make up the Public Account.</w:t>
      </w:r>
    </w:p>
  </w:footnote>
  <w:footnote w:id="5">
    <w:p w14:paraId="2D878B50" w14:textId="77777777" w:rsidR="002536F9" w:rsidRDefault="002536F9">
      <w:pPr>
        <w:pStyle w:val="FootnoteText"/>
      </w:pPr>
      <w:r>
        <w:rPr>
          <w:rStyle w:val="FootnoteReference"/>
        </w:rPr>
        <w:footnoteRef/>
      </w:r>
      <w:r>
        <w:t xml:space="preserve"> Refer Section 63 of the </w:t>
      </w:r>
      <w:r w:rsidRPr="008B0CC7">
        <w:rPr>
          <w:i/>
        </w:rPr>
        <w:t>Constitution Act 1975</w:t>
      </w:r>
      <w:r>
        <w:rPr>
          <w:i/>
        </w:rPr>
        <w:t>.</w:t>
      </w:r>
    </w:p>
  </w:footnote>
  <w:footnote w:id="6">
    <w:p w14:paraId="10A146C4" w14:textId="01583B2C" w:rsidR="002536F9" w:rsidRDefault="002536F9">
      <w:pPr>
        <w:pStyle w:val="FootnoteText"/>
      </w:pPr>
      <w:r>
        <w:rPr>
          <w:rStyle w:val="FootnoteReference"/>
        </w:rPr>
        <w:footnoteRef/>
      </w:r>
      <w:r>
        <w:t xml:space="preserve"> Refer Section 64 of the </w:t>
      </w:r>
      <w:r w:rsidRPr="00385ED8">
        <w:rPr>
          <w:i/>
        </w:rPr>
        <w:t>Constitution Act 1975.</w:t>
      </w:r>
    </w:p>
  </w:footnote>
  <w:footnote w:id="7">
    <w:p w14:paraId="43F83874" w14:textId="77777777" w:rsidR="002536F9" w:rsidRDefault="002536F9" w:rsidP="003F2219">
      <w:pPr>
        <w:pStyle w:val="FootnoteText"/>
      </w:pPr>
      <w:r w:rsidRPr="005744AE">
        <w:rPr>
          <w:rStyle w:val="FootnoteReference"/>
          <w:sz w:val="18"/>
        </w:rPr>
        <w:footnoteRef/>
      </w:r>
      <w:r w:rsidRPr="005744AE">
        <w:rPr>
          <w:sz w:val="18"/>
        </w:rPr>
        <w:t xml:space="preserve"> </w:t>
      </w:r>
      <w:r w:rsidRPr="005744AE">
        <w:rPr>
          <w:sz w:val="18"/>
          <w:szCs w:val="16"/>
        </w:rPr>
        <w:t>There are also funds known as the non-public account. These are generally bank accounts that sit with statutory and other agencies, and these are operated independently outside the Public Account.</w:t>
      </w:r>
    </w:p>
  </w:footnote>
  <w:footnote w:id="8">
    <w:p w14:paraId="249AA36B" w14:textId="3513B1E2" w:rsidR="002536F9" w:rsidRDefault="002536F9">
      <w:pPr>
        <w:pStyle w:val="FootnoteText"/>
      </w:pPr>
      <w:r>
        <w:rPr>
          <w:rStyle w:val="FootnoteReference"/>
        </w:rPr>
        <w:footnoteRef/>
      </w:r>
      <w:r>
        <w:t xml:space="preserve"> Under s</w:t>
      </w:r>
      <w:r w:rsidRPr="009C240A">
        <w:t xml:space="preserve">ection 93 of the </w:t>
      </w:r>
      <w:r w:rsidRPr="008B0CC7">
        <w:rPr>
          <w:i/>
        </w:rPr>
        <w:t>Constitution Act 1975</w:t>
      </w:r>
      <w:r w:rsidRPr="009C240A">
        <w:t xml:space="preserve"> and </w:t>
      </w:r>
      <w:r>
        <w:t>s</w:t>
      </w:r>
      <w:r w:rsidRPr="009C240A">
        <w:t>ection 17 of the FMA</w:t>
      </w:r>
      <w:r>
        <w:t>.</w:t>
      </w:r>
    </w:p>
  </w:footnote>
  <w:footnote w:id="9">
    <w:p w14:paraId="5B7BFB37" w14:textId="0C0872B6" w:rsidR="002536F9" w:rsidRDefault="002536F9">
      <w:pPr>
        <w:pStyle w:val="FootnoteText"/>
      </w:pPr>
      <w:r>
        <w:rPr>
          <w:rStyle w:val="FootnoteReference"/>
        </w:rPr>
        <w:footnoteRef/>
      </w:r>
      <w:r>
        <w:t xml:space="preserve"> Note that the Performance Management Framework (Requirement 5.1) allows the relevant portfolio Minister to approve changes of up to 5 per cent between outputs. Changes greater than 5 per cent, or the establishment of new outputs, require approval from the Minister for Finance.</w:t>
      </w:r>
    </w:p>
  </w:footnote>
  <w:footnote w:id="10">
    <w:p w14:paraId="3E61416D" w14:textId="77777777" w:rsidR="002536F9" w:rsidRDefault="002536F9">
      <w:pPr>
        <w:pStyle w:val="FootnoteText"/>
      </w:pPr>
      <w:r>
        <w:rPr>
          <w:rStyle w:val="FootnoteReference"/>
        </w:rPr>
        <w:footnoteRef/>
      </w:r>
      <w:r>
        <w:t xml:space="preserve"> Sometimes referred to as ‘standing appropriations’.</w:t>
      </w:r>
    </w:p>
  </w:footnote>
  <w:footnote w:id="11">
    <w:p w14:paraId="3417C146" w14:textId="715E03A1" w:rsidR="002536F9" w:rsidRDefault="002536F9" w:rsidP="00FA0033">
      <w:pPr>
        <w:pStyle w:val="FootnoteText"/>
      </w:pPr>
      <w:r>
        <w:rPr>
          <w:rStyle w:val="FootnoteReference"/>
        </w:rPr>
        <w:footnoteRef/>
      </w:r>
      <w:r>
        <w:t xml:space="preserve"> </w:t>
      </w:r>
      <w:r w:rsidRPr="005E64AB">
        <w:t>For example, jud</w:t>
      </w:r>
      <w:r>
        <w:t>icial</w:t>
      </w:r>
      <w:r w:rsidRPr="005E64AB">
        <w:t xml:space="preserve"> salaries have a special appropriation to ensure their salaries are not at the discretion of </w:t>
      </w:r>
      <w:r>
        <w:t xml:space="preserve">the </w:t>
      </w:r>
      <w:r w:rsidRPr="005E64AB">
        <w:t>Government, maintaining the separation of powers.</w:t>
      </w:r>
    </w:p>
  </w:footnote>
  <w:footnote w:id="12">
    <w:p w14:paraId="0E5E69A2" w14:textId="77777777" w:rsidR="002536F9" w:rsidRDefault="002536F9" w:rsidP="00373BB7">
      <w:pPr>
        <w:pStyle w:val="FootnoteText"/>
      </w:pPr>
      <w:r>
        <w:rPr>
          <w:rStyle w:val="FootnoteReference"/>
        </w:rPr>
        <w:footnoteRef/>
      </w:r>
      <w:r>
        <w:t xml:space="preserve"> U</w:t>
      </w:r>
      <w:r w:rsidRPr="00DA6436">
        <w:t>nless by or under an Act it may be paid into another fund (such as an account in the Trust Fund, or an account operated by a statutory authority).</w:t>
      </w:r>
    </w:p>
  </w:footnote>
  <w:footnote w:id="13">
    <w:p w14:paraId="57071F1A" w14:textId="05E1D8A4" w:rsidR="002536F9" w:rsidRDefault="002536F9" w:rsidP="00B47296">
      <w:pPr>
        <w:pStyle w:val="FootnoteText"/>
      </w:pPr>
      <w:r w:rsidRPr="00B56E75">
        <w:rPr>
          <w:rStyle w:val="FootnoteReference"/>
          <w:sz w:val="18"/>
        </w:rPr>
        <w:footnoteRef/>
      </w:r>
      <w:r w:rsidRPr="00B56E75">
        <w:t xml:space="preserve"> It should also be noted that for </w:t>
      </w:r>
      <w:r>
        <w:t>s</w:t>
      </w:r>
      <w:r w:rsidRPr="00B56E75">
        <w:t xml:space="preserve">ection 29 to be applicable, there must be a provision included against </w:t>
      </w:r>
      <w:r>
        <w:t xml:space="preserve">the relevant item in </w:t>
      </w:r>
      <w:r w:rsidRPr="00B56E75">
        <w:t xml:space="preserve">Schedule 1 of the annual Appropriation Act. If such a provision is not included in the Appropriation Act then </w:t>
      </w:r>
      <w:r>
        <w:t>s</w:t>
      </w:r>
      <w:r w:rsidRPr="00B56E75">
        <w:t>ection 29 cannot be applied in the financial year covered by the Appropriation Act.</w:t>
      </w:r>
    </w:p>
  </w:footnote>
  <w:footnote w:id="14">
    <w:p w14:paraId="47410B93" w14:textId="181FB0BB" w:rsidR="002536F9" w:rsidRDefault="002536F9" w:rsidP="00E82AA3">
      <w:pPr>
        <w:pStyle w:val="FootnoteText"/>
      </w:pPr>
      <w:r>
        <w:rPr>
          <w:rStyle w:val="FootnoteReference"/>
        </w:rPr>
        <w:footnoteRef/>
      </w:r>
      <w:r>
        <w:t xml:space="preserve"> Refer to </w:t>
      </w:r>
      <w:hyperlink r:id="rId1" w:history="1">
        <w:r w:rsidRPr="009D7EE1">
          <w:rPr>
            <w:rStyle w:val="Hyperlink"/>
          </w:rPr>
          <w:t>https://www.coag.gov.au/the_federal_financial_relations_framework</w:t>
        </w:r>
      </w:hyperlink>
      <w:r>
        <w:t xml:space="preserve"> for more details.</w:t>
      </w:r>
    </w:p>
  </w:footnote>
  <w:footnote w:id="15">
    <w:p w14:paraId="2565EC28" w14:textId="77777777" w:rsidR="002536F9" w:rsidRDefault="002536F9" w:rsidP="003D7E19">
      <w:pPr>
        <w:pStyle w:val="FootnoteText"/>
      </w:pPr>
      <w:r>
        <w:rPr>
          <w:rStyle w:val="FootnoteReference"/>
        </w:rPr>
        <w:footnoteRef/>
      </w:r>
      <w:r>
        <w:t xml:space="preserve"> These are</w:t>
      </w:r>
      <w:r w:rsidRPr="00E82AA3">
        <w:t xml:space="preserve"> GST grants, GST transitional grants and national competition policy payments</w:t>
      </w:r>
    </w:p>
  </w:footnote>
  <w:footnote w:id="16">
    <w:p w14:paraId="0B9A7DBA" w14:textId="50DB04A8" w:rsidR="002536F9" w:rsidRDefault="002536F9">
      <w:pPr>
        <w:pStyle w:val="FootnoteText"/>
      </w:pPr>
      <w:r>
        <w:rPr>
          <w:rStyle w:val="FootnoteReference"/>
        </w:rPr>
        <w:footnoteRef/>
      </w:r>
      <w:r>
        <w:t xml:space="preserve"> </w:t>
      </w:r>
      <w:r w:rsidRPr="005D34F2">
        <w:t xml:space="preserve">DTF is </w:t>
      </w:r>
      <w:r>
        <w:t xml:space="preserve">currently </w:t>
      </w:r>
      <w:r w:rsidRPr="005D34F2">
        <w:t>undertaking work to facilitate trus</w:t>
      </w:r>
      <w:r>
        <w:t>t account</w:t>
      </w:r>
      <w:r w:rsidRPr="005D34F2">
        <w:t xml:space="preserve"> arrangements that </w:t>
      </w:r>
      <w:r>
        <w:t xml:space="preserve">will </w:t>
      </w:r>
      <w:r w:rsidRPr="005D34F2">
        <w:t xml:space="preserve">allow a </w:t>
      </w:r>
      <w:r>
        <w:t>D</w:t>
      </w:r>
      <w:r w:rsidRPr="005D34F2">
        <w:t xml:space="preserve">epartment to transfer funding to another </w:t>
      </w:r>
      <w:r>
        <w:t>D</w:t>
      </w:r>
      <w:r w:rsidRPr="005D34F2">
        <w:t>epartment.</w:t>
      </w:r>
      <w:r>
        <w:t xml:space="preserve"> DTF will advise when this arrangement is in place.</w:t>
      </w:r>
    </w:p>
  </w:footnote>
  <w:footnote w:id="17">
    <w:p w14:paraId="522187A2" w14:textId="77777777" w:rsidR="002536F9" w:rsidRDefault="002536F9" w:rsidP="00AE2404">
      <w:pPr>
        <w:pStyle w:val="FootnoteText"/>
      </w:pPr>
      <w:r>
        <w:rPr>
          <w:rStyle w:val="FootnoteReference"/>
        </w:rPr>
        <w:footnoteRef/>
      </w:r>
      <w:r>
        <w:t xml:space="preserve"> For example, the </w:t>
      </w:r>
      <w:r w:rsidRPr="000F010F">
        <w:rPr>
          <w:i/>
        </w:rPr>
        <w:t>Conservation, Forests and Lands Act 1987</w:t>
      </w:r>
      <w:r>
        <w:t xml:space="preserve"> provides for the Conservation, Forests and Lands Stores Suspense Account (Section 22(1)); and the Conservation, Forests and Lands Plant and Machinery Fund (Section 23(1)).</w:t>
      </w:r>
    </w:p>
  </w:footnote>
  <w:footnote w:id="18">
    <w:p w14:paraId="6B5D282B" w14:textId="03000D11" w:rsidR="002536F9" w:rsidRDefault="002536F9" w:rsidP="003F2219">
      <w:pPr>
        <w:pStyle w:val="FootnoteText"/>
      </w:pPr>
      <w:r>
        <w:rPr>
          <w:rStyle w:val="FootnoteReference"/>
        </w:rPr>
        <w:footnoteRef/>
      </w:r>
      <w:r>
        <w:t xml:space="preserve"> </w:t>
      </w:r>
      <w:r w:rsidRPr="00EF0D0B">
        <w:t xml:space="preserve">With the repeal of the </w:t>
      </w:r>
      <w:r>
        <w:t>A</w:t>
      </w:r>
      <w:r w:rsidRPr="00EF0D0B">
        <w:t>ct in 1994, the FMA includes provision for the continuation of all existing trust funds and, now provides the legislative authority for the continuing operation of the Treasury Trust Fun</w:t>
      </w:r>
      <w:r>
        <w:t>d consistent with its original</w:t>
      </w:r>
      <w:r w:rsidRPr="00EF0D0B">
        <w:t xml:space="preserve"> purpose.</w:t>
      </w:r>
    </w:p>
  </w:footnote>
  <w:footnote w:id="19">
    <w:p w14:paraId="19854327" w14:textId="77777777" w:rsidR="002536F9" w:rsidRDefault="002536F9" w:rsidP="00581FF7">
      <w:pPr>
        <w:pStyle w:val="FootnoteText"/>
      </w:pPr>
      <w:r>
        <w:rPr>
          <w:rStyle w:val="FootnoteReference"/>
        </w:rPr>
        <w:footnoteRef/>
      </w:r>
      <w:r>
        <w:t xml:space="preserve"> </w:t>
      </w:r>
      <w:r w:rsidRPr="00581FF7">
        <w:t>Departments at times are required to provide funding to other departments in the delivery of Government objectives. DTF is currently working on the establishment of a dedicated trust to facilitate this.</w:t>
      </w:r>
    </w:p>
  </w:footnote>
  <w:footnote w:id="20">
    <w:p w14:paraId="6FDADD0C" w14:textId="53E54D7B" w:rsidR="002536F9" w:rsidRDefault="002536F9" w:rsidP="00402C76">
      <w:pPr>
        <w:pStyle w:val="FootnoteText"/>
      </w:pPr>
      <w:r>
        <w:rPr>
          <w:rStyle w:val="FootnoteReference"/>
        </w:rPr>
        <w:footnoteRef/>
      </w:r>
      <w:r>
        <w:t xml:space="preserve"> The Appropriation Bill for Parliament is not included in the calculation. Section 35 of the FMA does not appropriate the amount, it is section 7 of a subsequent year’s Appropriation Bill (the main Bill) that does so. Since the following year’s appropriation is submitted to the Parliament before the end of the financial year, the amounts presented for ratification are delayed until the following year’s Bill. There is no equivalent schedule in the Bill for Parliament.</w:t>
      </w:r>
    </w:p>
  </w:footnote>
  <w:footnote w:id="21">
    <w:p w14:paraId="3A5F1710" w14:textId="77777777" w:rsidR="002536F9" w:rsidRDefault="002536F9" w:rsidP="002A464A">
      <w:pPr>
        <w:pStyle w:val="FootnoteText"/>
      </w:pPr>
      <w:r>
        <w:rPr>
          <w:rStyle w:val="FootnoteReference"/>
        </w:rPr>
        <w:footnoteRef/>
      </w:r>
      <w:r>
        <w:t xml:space="preserve"> </w:t>
      </w:r>
      <w:r w:rsidRPr="00517307">
        <w:t>Section 33(2) of the FMA only permits depreciation equivalent balances to be used to fund asset investment.</w:t>
      </w:r>
    </w:p>
  </w:footnote>
  <w:footnote w:id="22">
    <w:p w14:paraId="6D048478" w14:textId="77777777" w:rsidR="002536F9" w:rsidRDefault="002536F9" w:rsidP="00B47296">
      <w:pPr>
        <w:pStyle w:val="FootnoteText"/>
      </w:pPr>
      <w:r w:rsidRPr="00FB6FF7">
        <w:rPr>
          <w:rStyle w:val="FootnoteReference"/>
          <w:sz w:val="18"/>
        </w:rPr>
        <w:footnoteRef/>
      </w:r>
      <w:r w:rsidRPr="00FB6FF7">
        <w:t xml:space="preserve"> This </w:t>
      </w:r>
      <w:r w:rsidRPr="00FB6FF7">
        <w:rPr>
          <w:b/>
        </w:rPr>
        <w:t>excludes</w:t>
      </w:r>
      <w:r w:rsidRPr="00FB6FF7">
        <w:t xml:space="preserve"> any subsequent recognition of gains or losses on revaluation of the LSL provision arising from the changes in present value resulting from the discount (bond) rate applied.</w:t>
      </w:r>
    </w:p>
  </w:footnote>
  <w:footnote w:id="23">
    <w:p w14:paraId="615AF09E" w14:textId="50994E54" w:rsidR="002536F9" w:rsidRDefault="002536F9" w:rsidP="00600DE7">
      <w:pPr>
        <w:pStyle w:val="FootnoteText"/>
      </w:pPr>
      <w:r w:rsidRPr="0043405D">
        <w:rPr>
          <w:rStyle w:val="FootnoteReference"/>
          <w:sz w:val="18"/>
        </w:rPr>
        <w:footnoteRef/>
      </w:r>
      <w:r>
        <w:rPr>
          <w:sz w:val="18"/>
        </w:rPr>
        <w:t xml:space="preserve"> With </w:t>
      </w:r>
      <w:r w:rsidRPr="0043405D">
        <w:rPr>
          <w:sz w:val="18"/>
        </w:rPr>
        <w:t>written approval</w:t>
      </w:r>
      <w:r>
        <w:rPr>
          <w:sz w:val="18"/>
        </w:rPr>
        <w:t xml:space="preserve"> from</w:t>
      </w:r>
      <w:r w:rsidRPr="0043405D">
        <w:rPr>
          <w:sz w:val="18"/>
        </w:rPr>
        <w:t xml:space="preserve"> DTF, a Department may vary the order in which these funding sources are applied</w:t>
      </w:r>
      <w:r>
        <w:rPr>
          <w:sz w:val="18"/>
        </w:rPr>
        <w:t>.</w:t>
      </w:r>
    </w:p>
  </w:footnote>
  <w:footnote w:id="24">
    <w:p w14:paraId="77DD3941" w14:textId="5BC920F7" w:rsidR="002536F9" w:rsidRDefault="002536F9">
      <w:pPr>
        <w:pStyle w:val="FootnoteText"/>
      </w:pPr>
      <w:r>
        <w:rPr>
          <w:rStyle w:val="FootnoteReference"/>
        </w:rPr>
        <w:footnoteRef/>
      </w:r>
      <w:r>
        <w:t xml:space="preserve"> </w:t>
      </w:r>
      <w:r w:rsidRPr="00686C5E">
        <w:t xml:space="preserve">While Departments may take into account the existence and extent of hypothecated revenues when preparing </w:t>
      </w:r>
      <w:r>
        <w:t>asset</w:t>
      </w:r>
      <w:r w:rsidRPr="00686C5E">
        <w:t xml:space="preserve"> investment proposals, the decision to allocate hypothecated revenues to particular investment projects rests with Government.</w:t>
      </w:r>
    </w:p>
  </w:footnote>
  <w:footnote w:id="25">
    <w:p w14:paraId="78CDD581" w14:textId="7F1E4558" w:rsidR="002536F9" w:rsidRDefault="002536F9" w:rsidP="0029606D">
      <w:pPr>
        <w:pStyle w:val="FootnoteText"/>
      </w:pPr>
      <w:r w:rsidRPr="000574DD">
        <w:rPr>
          <w:rStyle w:val="FootnoteReference"/>
          <w:sz w:val="18"/>
        </w:rPr>
        <w:footnoteRef/>
      </w:r>
      <w:r w:rsidRPr="000574DD">
        <w:t xml:space="preserve"> A Department may also use its retained surplu</w:t>
      </w:r>
      <w:r>
        <w:t>ses on the provision of outputs</w:t>
      </w:r>
      <w:r w:rsidRPr="000574DD">
        <w:t xml:space="preserve"> to fund asset investment, subject to the provisions of approval under </w:t>
      </w:r>
      <w:r>
        <w:t>s</w:t>
      </w:r>
      <w:r w:rsidRPr="000574DD">
        <w:t>ection 33 of the FMA.</w:t>
      </w:r>
    </w:p>
  </w:footnote>
  <w:footnote w:id="26">
    <w:p w14:paraId="6F0839F6" w14:textId="42520D50" w:rsidR="002536F9" w:rsidRDefault="002536F9">
      <w:pPr>
        <w:pStyle w:val="FootnoteText"/>
      </w:pPr>
      <w:r>
        <w:rPr>
          <w:rStyle w:val="FootnoteReference"/>
        </w:rPr>
        <w:footnoteRef/>
      </w:r>
      <w:r>
        <w:t xml:space="preserve"> Output contingencies are disclosed in Note 12 (c), Chapter 1, Budget Paper 5. Asset contingencies are disclosed in Note 20 (c), Chapter 1, Budget Paper 5.</w:t>
      </w:r>
    </w:p>
  </w:footnote>
  <w:footnote w:id="27">
    <w:p w14:paraId="5D954737" w14:textId="77777777" w:rsidR="002536F9" w:rsidRDefault="002536F9" w:rsidP="000C4837">
      <w:pPr>
        <w:pStyle w:val="FootnoteText"/>
      </w:pPr>
      <w:r>
        <w:rPr>
          <w:rStyle w:val="FootnoteReference"/>
        </w:rPr>
        <w:footnoteRef/>
      </w:r>
      <w:r>
        <w:t xml:space="preserve"> </w:t>
      </w:r>
      <w:r w:rsidRPr="00EE037D">
        <w:t xml:space="preserve">This coincides with the Mid Year and Annual Financial </w:t>
      </w:r>
      <w:r>
        <w:t>r</w:t>
      </w:r>
      <w:r w:rsidRPr="00EE037D">
        <w:t>eporting requirements.</w:t>
      </w:r>
      <w:r>
        <w:t xml:space="preserve"> A Departmental CFO may decide to complete inter-entity account dissections at more frequent intervals for internal management and control purposes.</w:t>
      </w:r>
    </w:p>
  </w:footnote>
  <w:footnote w:id="28">
    <w:p w14:paraId="0114C974" w14:textId="77777777" w:rsidR="002536F9" w:rsidRDefault="002536F9" w:rsidP="005476DA">
      <w:r w:rsidRPr="00E63100">
        <w:rPr>
          <w:rStyle w:val="FootnoteReference"/>
          <w:sz w:val="18"/>
        </w:rPr>
        <w:footnoteRef/>
      </w:r>
      <w:r w:rsidRPr="00E63100">
        <w:rPr>
          <w:sz w:val="18"/>
        </w:rPr>
        <w:t xml:space="preserve"> Appropriation revenue is not provided for LSL gains/(losses) on revaluation due to changes in the present value resulting from the discount (bond) rate applied.</w:t>
      </w:r>
    </w:p>
  </w:footnote>
  <w:footnote w:id="29">
    <w:p w14:paraId="6D0776F3" w14:textId="00D55C42" w:rsidR="002536F9" w:rsidRDefault="002536F9">
      <w:pPr>
        <w:pStyle w:val="FootnoteText"/>
      </w:pPr>
      <w:r>
        <w:rPr>
          <w:rStyle w:val="FootnoteReference"/>
        </w:rPr>
        <w:footnoteRef/>
      </w:r>
      <w:r>
        <w:t xml:space="preserve"> </w:t>
      </w:r>
      <w:r w:rsidRPr="0018102F">
        <w:t>This example assumes that additional output appropriation has or will be made available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3E181" w14:textId="77777777" w:rsidR="002536F9" w:rsidRDefault="002536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8D494" w14:textId="35D10A19" w:rsidR="002536F9" w:rsidRDefault="002536F9">
    <w:pPr>
      <w:pStyle w:val="Header"/>
    </w:pPr>
    <w:r>
      <w:rPr>
        <w:noProof/>
      </w:rPr>
      <mc:AlternateContent>
        <mc:Choice Requires="wpg">
          <w:drawing>
            <wp:anchor distT="0" distB="0" distL="114300" distR="114300" simplePos="0" relativeHeight="251660288" behindDoc="0" locked="0" layoutInCell="1" allowOverlap="1" wp14:anchorId="1A8F82DC" wp14:editId="0E9BFE80">
              <wp:simplePos x="0" y="0"/>
              <wp:positionH relativeFrom="column">
                <wp:posOffset>-1254760</wp:posOffset>
              </wp:positionH>
              <wp:positionV relativeFrom="paragraph">
                <wp:posOffset>-447675</wp:posOffset>
              </wp:positionV>
              <wp:extent cx="10699845" cy="736980"/>
              <wp:effectExtent l="0" t="0" r="6350" b="6350"/>
              <wp:wrapNone/>
              <wp:docPr id="19729" name="Group 19729"/>
              <wp:cNvGraphicFramePr/>
              <a:graphic xmlns:a="http://schemas.openxmlformats.org/drawingml/2006/main">
                <a:graphicData uri="http://schemas.microsoft.com/office/word/2010/wordprocessingGroup">
                  <wpg:wgp>
                    <wpg:cNvGrpSpPr/>
                    <wpg:grpSpPr>
                      <a:xfrm>
                        <a:off x="0" y="0"/>
                        <a:ext cx="10699845" cy="736980"/>
                        <a:chOff x="0" y="0"/>
                        <a:chExt cx="10699845" cy="736980"/>
                      </a:xfrm>
                    </wpg:grpSpPr>
                    <pic:pic xmlns:pic="http://schemas.openxmlformats.org/drawingml/2006/picture">
                      <pic:nvPicPr>
                        <pic:cNvPr id="19727" name="Heade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980" cy="736980"/>
                        </a:xfrm>
                        <a:prstGeom prst="rect">
                          <a:avLst/>
                        </a:prstGeom>
                      </pic:spPr>
                    </pic:pic>
                    <pic:pic xmlns:pic="http://schemas.openxmlformats.org/drawingml/2006/picture">
                      <pic:nvPicPr>
                        <pic:cNvPr id="19728" name="Header"/>
                        <pic:cNvPicPr>
                          <a:picLocks noChangeAspect="1"/>
                        </pic:cNvPicPr>
                      </pic:nvPicPr>
                      <pic:blipFill rotWithShape="1">
                        <a:blip r:embed="rId1" cstate="print">
                          <a:extLst>
                            <a:ext uri="{28A0092B-C50C-407E-A947-70E740481C1C}">
                              <a14:useLocalDpi xmlns:a14="http://schemas.microsoft.com/office/drawing/2010/main" val="0"/>
                            </a:ext>
                          </a:extLst>
                        </a:blip>
                        <a:srcRect l="15942"/>
                        <a:stretch/>
                      </pic:blipFill>
                      <pic:spPr bwMode="auto">
                        <a:xfrm>
                          <a:off x="4333165" y="0"/>
                          <a:ext cx="6366680" cy="73698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5="http://schemas.microsoft.com/office/word/2012/wordml">
          <w:pict>
            <v:group w14:anchorId="0CEA1B3E" id="Group 19729" o:spid="_x0000_s1026" style="position:absolute;margin-left:-98.8pt;margin-top:-35.25pt;width:842.5pt;height:58.05pt;z-index:251660288" coordsize="106998,7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 o:spid="_x0000_s1027" type="#_x0000_t75" style="position:absolute;width:75949;height:7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lnKfBAAAA3gAAAA8AAABkcnMvZG93bnJldi54bWxET0uLwjAQvgv+hzDC3jS1h1WrUURQ1tv6&#10;wPPQjG21mYQkavffbxYWvM3H95zFqjOteJIPjWUF41EGgri0uuFKwfm0HU5BhIissbVMCn4owGrZ&#10;7y2w0PbFB3oeYyVSCIcCFdQxukLKUNZkMIysI07c1XqDMUFfSe3xlcJNK/Ms+5QGG04NNTra1FTe&#10;jw+jYP8d9G4zm17ym5fbG2Xu5PK9Uh+Dbj0HEamLb/G/+0un+bNJPoG/d9IN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wlnKfBAAAA3gAAAA8AAAAAAAAAAAAAAAAAnwIA&#10;AGRycy9kb3ducmV2LnhtbFBLBQYAAAAABAAEAPcAAACNAwAAAAA=&#10;">
                <v:imagedata r:id="rId2" o:title=""/>
                <v:path arrowok="t"/>
              </v:shape>
              <v:shape id="Header" o:spid="_x0000_s1028" type="#_x0000_t75" style="position:absolute;left:43331;width:63667;height:7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F7FfFAAAA3gAAAA8AAABkcnMvZG93bnJldi54bWxEj0FvwjAMhe+T9h8iT+I2UnoYoyMghITY&#10;LggKB45W46UVjVM1Acq/nw9Iu9l6z+99ni8H36ob9bEJbGAyzkARV8E27Aycjpv3T1AxIVtsA5OB&#10;B0VYLl5f5ljYcOcD3crklIRwLNBAnVJXaB2rmjzGceiIRfsNvccka++07fEu4b7VeZZ9aI8NS0ON&#10;Ha1rqi7l1RtweJnt3VSf21Rto81L3g0/bMzobVh9gUo0pH/z8/rbCv5smguvvCMz6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hexXxQAAAN4AAAAPAAAAAAAAAAAAAAAA&#10;AJ8CAABkcnMvZG93bnJldi54bWxQSwUGAAAAAAQABAD3AAAAkQMAAAAA&#10;">
                <v:imagedata r:id="rId2" o:title="" cropleft="10448f"/>
                <v:path arrowok="t"/>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A12F" w14:textId="242D8A3E" w:rsidR="002536F9" w:rsidRDefault="002536F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51BBA" w14:textId="72F6D0A6" w:rsidR="002536F9" w:rsidRDefault="002536F9">
    <w:pPr>
      <w:pStyle w:val="Header"/>
    </w:pPr>
    <w:r>
      <w:rPr>
        <w:noProof/>
      </w:rPr>
      <w:drawing>
        <wp:anchor distT="0" distB="0" distL="114300" distR="114300" simplePos="0" relativeHeight="251662336" behindDoc="0" locked="0" layoutInCell="1" allowOverlap="1" wp14:anchorId="165F5A86" wp14:editId="63207595">
          <wp:simplePos x="0" y="0"/>
          <wp:positionH relativeFrom="column">
            <wp:posOffset>-923290</wp:posOffset>
          </wp:positionH>
          <wp:positionV relativeFrom="page">
            <wp:posOffset>-3175</wp:posOffset>
          </wp:positionV>
          <wp:extent cx="7591245" cy="740985"/>
          <wp:effectExtent l="0" t="0" r="0" b="2540"/>
          <wp:wrapNone/>
          <wp:docPr id="11"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329B6" w14:textId="01AF55E9" w:rsidR="002536F9" w:rsidRDefault="002536F9">
    <w:pPr>
      <w:pStyle w:val="Header"/>
    </w:pPr>
    <w:r>
      <w:rPr>
        <w:noProof/>
      </w:rPr>
      <w:drawing>
        <wp:anchor distT="0" distB="0" distL="114300" distR="114300" simplePos="0" relativeHeight="251661312" behindDoc="0" locked="0" layoutInCell="1" allowOverlap="1" wp14:anchorId="4994C2F3" wp14:editId="6B07C203">
          <wp:simplePos x="0" y="0"/>
          <wp:positionH relativeFrom="column">
            <wp:posOffset>-931849</wp:posOffset>
          </wp:positionH>
          <wp:positionV relativeFrom="page">
            <wp:posOffset>0</wp:posOffset>
          </wp:positionV>
          <wp:extent cx="7591245" cy="740985"/>
          <wp:effectExtent l="0" t="0" r="0" b="2540"/>
          <wp:wrapNone/>
          <wp:docPr id="1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588C3" w14:textId="2F7D3F6C" w:rsidR="002536F9" w:rsidRDefault="002536F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A18F" w14:textId="3DFD05C3" w:rsidR="002536F9" w:rsidRDefault="002536F9">
    <w:pPr>
      <w:pStyle w:val="Header"/>
    </w:pPr>
    <w:r>
      <w:rPr>
        <w:noProof/>
      </w:rPr>
      <w:drawing>
        <wp:anchor distT="0" distB="0" distL="114300" distR="114300" simplePos="0" relativeHeight="251656192" behindDoc="0" locked="0" layoutInCell="1" allowOverlap="1" wp14:anchorId="401B6C79" wp14:editId="771D2A4E">
          <wp:simplePos x="0" y="0"/>
          <wp:positionH relativeFrom="column">
            <wp:posOffset>-1038758</wp:posOffset>
          </wp:positionH>
          <wp:positionV relativeFrom="page">
            <wp:posOffset>0</wp:posOffset>
          </wp:positionV>
          <wp:extent cx="7710220" cy="10863072"/>
          <wp:effectExtent l="0" t="0" r="5080" b="0"/>
          <wp:wrapNone/>
          <wp:docPr id="19754"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1" locked="0" layoutInCell="1" allowOverlap="1" wp14:anchorId="34ECF610" wp14:editId="01A883E1">
          <wp:simplePos x="0" y="0"/>
          <wp:positionH relativeFrom="column">
            <wp:posOffset>-914400</wp:posOffset>
          </wp:positionH>
          <wp:positionV relativeFrom="page">
            <wp:posOffset>0</wp:posOffset>
          </wp:positionV>
          <wp:extent cx="7562088" cy="10698480"/>
          <wp:effectExtent l="0" t="0" r="1270" b="7620"/>
          <wp:wrapNone/>
          <wp:docPr id="19755"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E2E16" w14:textId="2ED2DD29" w:rsidR="002536F9" w:rsidRDefault="002536F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6EA0D" w14:textId="3E7F8ACF" w:rsidR="002536F9" w:rsidRDefault="00253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283E2" w14:textId="0E785115" w:rsidR="002536F9" w:rsidRDefault="002536F9">
    <w:pPr>
      <w:pStyle w:val="Header"/>
    </w:pPr>
    <w:r>
      <w:rPr>
        <w:noProof/>
      </w:rPr>
      <w:drawing>
        <wp:anchor distT="0" distB="0" distL="114300" distR="114300" simplePos="0" relativeHeight="251653120" behindDoc="1" locked="0" layoutInCell="1" allowOverlap="1" wp14:anchorId="417B463C" wp14:editId="314242DE">
          <wp:simplePos x="0" y="0"/>
          <wp:positionH relativeFrom="column">
            <wp:posOffset>-930303</wp:posOffset>
          </wp:positionH>
          <wp:positionV relativeFrom="page">
            <wp:posOffset>-31805</wp:posOffset>
          </wp:positionV>
          <wp:extent cx="7589520" cy="10725912"/>
          <wp:effectExtent l="0" t="0" r="0" b="0"/>
          <wp:wrapNone/>
          <wp:docPr id="19749"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560C0BAC" wp14:editId="2728BB33">
          <wp:simplePos x="0" y="0"/>
          <wp:positionH relativeFrom="column">
            <wp:posOffset>-909902</wp:posOffset>
          </wp:positionH>
          <wp:positionV relativeFrom="page">
            <wp:posOffset>-264</wp:posOffset>
          </wp:positionV>
          <wp:extent cx="7562088" cy="10698480"/>
          <wp:effectExtent l="0" t="0" r="1270" b="7620"/>
          <wp:wrapNone/>
          <wp:docPr id="19750"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EC26F" w14:textId="77777777" w:rsidR="002536F9" w:rsidRDefault="002536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429B4" w14:textId="68D1B10A" w:rsidR="002536F9" w:rsidRDefault="002536F9">
    <w:pPr>
      <w:pStyle w:val="Header"/>
    </w:pPr>
    <w:r>
      <w:rPr>
        <w:noProof/>
      </w:rPr>
      <w:drawing>
        <wp:anchor distT="0" distB="0" distL="114300" distR="114300" simplePos="0" relativeHeight="251659264" behindDoc="0" locked="0" layoutInCell="1" allowOverlap="1" wp14:anchorId="04FBA20B" wp14:editId="448440F5">
          <wp:simplePos x="0" y="0"/>
          <wp:positionH relativeFrom="column">
            <wp:posOffset>-932815</wp:posOffset>
          </wp:positionH>
          <wp:positionV relativeFrom="page">
            <wp:posOffset>-3546</wp:posOffset>
          </wp:positionV>
          <wp:extent cx="7591245" cy="740985"/>
          <wp:effectExtent l="0" t="0" r="0" b="2540"/>
          <wp:wrapNone/>
          <wp:docPr id="19753"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59CA" w14:textId="4F81BDC6" w:rsidR="002536F9" w:rsidRDefault="002536F9">
    <w:pPr>
      <w:pStyle w:val="Header"/>
    </w:pPr>
    <w:r>
      <w:rPr>
        <w:noProof/>
      </w:rPr>
      <w:drawing>
        <wp:anchor distT="0" distB="0" distL="114300" distR="114300" simplePos="0" relativeHeight="251658240" behindDoc="0" locked="0" layoutInCell="1" allowOverlap="1" wp14:anchorId="096AC033" wp14:editId="5F5C2976">
          <wp:simplePos x="0" y="0"/>
          <wp:positionH relativeFrom="column">
            <wp:posOffset>-931849</wp:posOffset>
          </wp:positionH>
          <wp:positionV relativeFrom="page">
            <wp:posOffset>0</wp:posOffset>
          </wp:positionV>
          <wp:extent cx="7591245" cy="740985"/>
          <wp:effectExtent l="0" t="0" r="0" b="2540"/>
          <wp:wrapNone/>
          <wp:docPr id="1975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D8BE7" w14:textId="38CB42E2" w:rsidR="002536F9" w:rsidRDefault="002536F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B898C" w14:textId="77777777" w:rsidR="002536F9" w:rsidRDefault="002536F9">
    <w:pPr>
      <w:pStyle w:val="Header"/>
    </w:pPr>
    <w:r>
      <w:rPr>
        <w:noProof/>
      </w:rPr>
      <w:drawing>
        <wp:anchor distT="0" distB="0" distL="114300" distR="114300" simplePos="0" relativeHeight="251664384" behindDoc="0" locked="0" layoutInCell="1" allowOverlap="1" wp14:anchorId="0C988B04" wp14:editId="5319D30C">
          <wp:simplePos x="0" y="0"/>
          <wp:positionH relativeFrom="column">
            <wp:posOffset>-932815</wp:posOffset>
          </wp:positionH>
          <wp:positionV relativeFrom="page">
            <wp:posOffset>-3546</wp:posOffset>
          </wp:positionV>
          <wp:extent cx="7591245" cy="740985"/>
          <wp:effectExtent l="0" t="0" r="0" b="2540"/>
          <wp:wrapNone/>
          <wp:docPr id="19759"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B10F6" w14:textId="3F5A3969" w:rsidR="002536F9" w:rsidRDefault="002536F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9A15" w14:textId="021D36EE" w:rsidR="002536F9" w:rsidRDefault="00253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08298D"/>
    <w:multiLevelType w:val="hybridMultilevel"/>
    <w:tmpl w:val="8DE404D8"/>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
    <w:nsid w:val="0517614B"/>
    <w:multiLevelType w:val="multilevel"/>
    <w:tmpl w:val="3D066716"/>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864"/>
        </w:tabs>
        <w:ind w:left="720" w:hanging="360"/>
      </w:pPr>
      <w:rPr>
        <w:rFonts w:hint="default"/>
      </w:rPr>
    </w:lvl>
    <w:lvl w:ilvl="2">
      <w:start w:val="6"/>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5">
    <w:nsid w:val="09CE5756"/>
    <w:multiLevelType w:val="hybridMultilevel"/>
    <w:tmpl w:val="844E0252"/>
    <w:lvl w:ilvl="0" w:tplc="0C090001">
      <w:start w:val="1"/>
      <w:numFmt w:val="bullet"/>
      <w:lvlText w:val=""/>
      <w:lvlJc w:val="left"/>
      <w:pPr>
        <w:ind w:left="1512" w:hanging="360"/>
      </w:pPr>
      <w:rPr>
        <w:rFonts w:ascii="Symbol" w:hAnsi="Symbol" w:hint="default"/>
      </w:rPr>
    </w:lvl>
    <w:lvl w:ilvl="1" w:tplc="0C090003">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6">
    <w:nsid w:val="0E1038AB"/>
    <w:multiLevelType w:val="hybridMultilevel"/>
    <w:tmpl w:val="9272CBD8"/>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7">
    <w:nsid w:val="0E853A89"/>
    <w:multiLevelType w:val="multilevel"/>
    <w:tmpl w:val="C26E9AC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none"/>
      <w:suff w:val="nothing"/>
      <w:lvlText w:val=""/>
      <w:lvlJc w:val="left"/>
      <w:pPr>
        <w:ind w:left="792" w:firstLine="0"/>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abstractNum w:abstractNumId="8">
    <w:nsid w:val="0E9A6E8B"/>
    <w:multiLevelType w:val="multilevel"/>
    <w:tmpl w:val="3D066716"/>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864"/>
        </w:tabs>
        <w:ind w:left="720" w:hanging="360"/>
      </w:pPr>
      <w:rPr>
        <w:rFonts w:hint="default"/>
      </w:rPr>
    </w:lvl>
    <w:lvl w:ilvl="2">
      <w:start w:val="6"/>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9">
    <w:nsid w:val="12B01D8D"/>
    <w:multiLevelType w:val="multilevel"/>
    <w:tmpl w:val="3D066716"/>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864"/>
        </w:tabs>
        <w:ind w:left="720" w:hanging="360"/>
      </w:pPr>
      <w:rPr>
        <w:rFonts w:hint="default"/>
      </w:rPr>
    </w:lvl>
    <w:lvl w:ilvl="2">
      <w:start w:val="6"/>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10">
    <w:nsid w:val="13234EF3"/>
    <w:multiLevelType w:val="multilevel"/>
    <w:tmpl w:val="3D066716"/>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864"/>
        </w:tabs>
        <w:ind w:left="720" w:hanging="360"/>
      </w:pPr>
      <w:rPr>
        <w:rFonts w:hint="default"/>
      </w:rPr>
    </w:lvl>
    <w:lvl w:ilvl="2">
      <w:start w:val="6"/>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11">
    <w:nsid w:val="15551A0F"/>
    <w:multiLevelType w:val="hybridMultilevel"/>
    <w:tmpl w:val="9A14A1F2"/>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2">
    <w:nsid w:val="17F249D3"/>
    <w:multiLevelType w:val="hybridMultilevel"/>
    <w:tmpl w:val="B314751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nsid w:val="1FC153E8"/>
    <w:multiLevelType w:val="hybridMultilevel"/>
    <w:tmpl w:val="21B6CA94"/>
    <w:lvl w:ilvl="0" w:tplc="F3B05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5">
    <w:nsid w:val="20690BDF"/>
    <w:multiLevelType w:val="multilevel"/>
    <w:tmpl w:val="3D066716"/>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864"/>
        </w:tabs>
        <w:ind w:left="720" w:hanging="360"/>
      </w:pPr>
      <w:rPr>
        <w:rFonts w:hint="default"/>
      </w:rPr>
    </w:lvl>
    <w:lvl w:ilvl="2">
      <w:start w:val="6"/>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16">
    <w:nsid w:val="20D5486F"/>
    <w:multiLevelType w:val="hybridMultilevel"/>
    <w:tmpl w:val="33CA4298"/>
    <w:lvl w:ilvl="0" w:tplc="0C090001">
      <w:start w:val="1"/>
      <w:numFmt w:val="bullet"/>
      <w:lvlText w:val=""/>
      <w:lvlJc w:val="left"/>
      <w:pPr>
        <w:ind w:left="1656" w:hanging="360"/>
      </w:pPr>
      <w:rPr>
        <w:rFonts w:ascii="Symbol" w:hAnsi="Symbol" w:hint="default"/>
      </w:rPr>
    </w:lvl>
    <w:lvl w:ilvl="1" w:tplc="0C090003" w:tentative="1">
      <w:start w:val="1"/>
      <w:numFmt w:val="bullet"/>
      <w:lvlText w:val="o"/>
      <w:lvlJc w:val="left"/>
      <w:pPr>
        <w:ind w:left="2376" w:hanging="360"/>
      </w:pPr>
      <w:rPr>
        <w:rFonts w:ascii="Courier New" w:hAnsi="Courier New" w:cs="Courier New" w:hint="default"/>
      </w:rPr>
    </w:lvl>
    <w:lvl w:ilvl="2" w:tplc="0C090005" w:tentative="1">
      <w:start w:val="1"/>
      <w:numFmt w:val="bullet"/>
      <w:lvlText w:val=""/>
      <w:lvlJc w:val="left"/>
      <w:pPr>
        <w:ind w:left="3096" w:hanging="360"/>
      </w:pPr>
      <w:rPr>
        <w:rFonts w:ascii="Wingdings" w:hAnsi="Wingdings" w:hint="default"/>
      </w:rPr>
    </w:lvl>
    <w:lvl w:ilvl="3" w:tplc="0C090001" w:tentative="1">
      <w:start w:val="1"/>
      <w:numFmt w:val="bullet"/>
      <w:lvlText w:val=""/>
      <w:lvlJc w:val="left"/>
      <w:pPr>
        <w:ind w:left="3816" w:hanging="360"/>
      </w:pPr>
      <w:rPr>
        <w:rFonts w:ascii="Symbol" w:hAnsi="Symbol" w:hint="default"/>
      </w:rPr>
    </w:lvl>
    <w:lvl w:ilvl="4" w:tplc="0C090003" w:tentative="1">
      <w:start w:val="1"/>
      <w:numFmt w:val="bullet"/>
      <w:lvlText w:val="o"/>
      <w:lvlJc w:val="left"/>
      <w:pPr>
        <w:ind w:left="4536" w:hanging="360"/>
      </w:pPr>
      <w:rPr>
        <w:rFonts w:ascii="Courier New" w:hAnsi="Courier New" w:cs="Courier New" w:hint="default"/>
      </w:rPr>
    </w:lvl>
    <w:lvl w:ilvl="5" w:tplc="0C090005" w:tentative="1">
      <w:start w:val="1"/>
      <w:numFmt w:val="bullet"/>
      <w:lvlText w:val=""/>
      <w:lvlJc w:val="left"/>
      <w:pPr>
        <w:ind w:left="5256" w:hanging="360"/>
      </w:pPr>
      <w:rPr>
        <w:rFonts w:ascii="Wingdings" w:hAnsi="Wingdings" w:hint="default"/>
      </w:rPr>
    </w:lvl>
    <w:lvl w:ilvl="6" w:tplc="0C090001" w:tentative="1">
      <w:start w:val="1"/>
      <w:numFmt w:val="bullet"/>
      <w:lvlText w:val=""/>
      <w:lvlJc w:val="left"/>
      <w:pPr>
        <w:ind w:left="5976" w:hanging="360"/>
      </w:pPr>
      <w:rPr>
        <w:rFonts w:ascii="Symbol" w:hAnsi="Symbol" w:hint="default"/>
      </w:rPr>
    </w:lvl>
    <w:lvl w:ilvl="7" w:tplc="0C090003" w:tentative="1">
      <w:start w:val="1"/>
      <w:numFmt w:val="bullet"/>
      <w:lvlText w:val="o"/>
      <w:lvlJc w:val="left"/>
      <w:pPr>
        <w:ind w:left="6696" w:hanging="360"/>
      </w:pPr>
      <w:rPr>
        <w:rFonts w:ascii="Courier New" w:hAnsi="Courier New" w:cs="Courier New" w:hint="default"/>
      </w:rPr>
    </w:lvl>
    <w:lvl w:ilvl="8" w:tplc="0C090005" w:tentative="1">
      <w:start w:val="1"/>
      <w:numFmt w:val="bullet"/>
      <w:lvlText w:val=""/>
      <w:lvlJc w:val="left"/>
      <w:pPr>
        <w:ind w:left="7416" w:hanging="360"/>
      </w:pPr>
      <w:rPr>
        <w:rFonts w:ascii="Wingdings" w:hAnsi="Wingdings" w:hint="default"/>
      </w:rPr>
    </w:lvl>
  </w:abstractNum>
  <w:abstractNum w:abstractNumId="17">
    <w:nsid w:val="220729CA"/>
    <w:multiLevelType w:val="hybridMultilevel"/>
    <w:tmpl w:val="BF6E836C"/>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8">
    <w:nsid w:val="22C17FC4"/>
    <w:multiLevelType w:val="hybridMultilevel"/>
    <w:tmpl w:val="B9E2C9B4"/>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9">
    <w:nsid w:val="2373260D"/>
    <w:multiLevelType w:val="multilevel"/>
    <w:tmpl w:val="3D066716"/>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864"/>
        </w:tabs>
        <w:ind w:left="720" w:hanging="360"/>
      </w:pPr>
      <w:rPr>
        <w:rFonts w:hint="default"/>
      </w:rPr>
    </w:lvl>
    <w:lvl w:ilvl="2">
      <w:start w:val="6"/>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20">
    <w:nsid w:val="24EA5178"/>
    <w:multiLevelType w:val="hybridMultilevel"/>
    <w:tmpl w:val="7D268AEC"/>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7145936"/>
    <w:multiLevelType w:val="multilevel"/>
    <w:tmpl w:val="3D066716"/>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864"/>
        </w:tabs>
        <w:ind w:left="720" w:hanging="360"/>
      </w:pPr>
      <w:rPr>
        <w:rFonts w:hint="default"/>
      </w:rPr>
    </w:lvl>
    <w:lvl w:ilvl="2">
      <w:start w:val="6"/>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23">
    <w:nsid w:val="2CB4294D"/>
    <w:multiLevelType w:val="hybridMultilevel"/>
    <w:tmpl w:val="33AA56E0"/>
    <w:lvl w:ilvl="0" w:tplc="0C090017">
      <w:start w:val="1"/>
      <w:numFmt w:val="lowerLetter"/>
      <w:lvlText w:val="%1)"/>
      <w:lvlJc w:val="left"/>
      <w:pPr>
        <w:ind w:left="1152" w:hanging="360"/>
      </w:pPr>
    </w:lvl>
    <w:lvl w:ilvl="1" w:tplc="0C090019">
      <w:start w:val="1"/>
      <w:numFmt w:val="lowerLetter"/>
      <w:lvlText w:val="%2."/>
      <w:lvlJc w:val="left"/>
      <w:pPr>
        <w:ind w:left="1872" w:hanging="360"/>
      </w:pPr>
    </w:lvl>
    <w:lvl w:ilvl="2" w:tplc="0C09001B">
      <w:start w:val="1"/>
      <w:numFmt w:val="lowerRoman"/>
      <w:lvlText w:val="%3."/>
      <w:lvlJc w:val="right"/>
      <w:pPr>
        <w:ind w:left="2592" w:hanging="180"/>
      </w:pPr>
    </w:lvl>
    <w:lvl w:ilvl="3" w:tplc="0C09000F">
      <w:start w:val="1"/>
      <w:numFmt w:val="decimal"/>
      <w:lvlText w:val="%4."/>
      <w:lvlJc w:val="left"/>
      <w:pPr>
        <w:ind w:left="3312" w:hanging="360"/>
      </w:pPr>
    </w:lvl>
    <w:lvl w:ilvl="4" w:tplc="0C090019">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4">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87B14DF"/>
    <w:multiLevelType w:val="hybridMultilevel"/>
    <w:tmpl w:val="A32C7012"/>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6">
    <w:nsid w:val="39E37C7C"/>
    <w:multiLevelType w:val="hybridMultilevel"/>
    <w:tmpl w:val="B4ACA0F0"/>
    <w:lvl w:ilvl="0" w:tplc="5DF881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ED24EBE"/>
    <w:multiLevelType w:val="hybridMultilevel"/>
    <w:tmpl w:val="36B08F44"/>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8">
    <w:nsid w:val="401F2943"/>
    <w:multiLevelType w:val="hybridMultilevel"/>
    <w:tmpl w:val="6EA297F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9">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1">
    <w:nsid w:val="47541F10"/>
    <w:multiLevelType w:val="hybridMultilevel"/>
    <w:tmpl w:val="DD56B110"/>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2">
    <w:nsid w:val="48866EC1"/>
    <w:multiLevelType w:val="hybridMultilevel"/>
    <w:tmpl w:val="7A94F60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3">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4E9B6161"/>
    <w:multiLevelType w:val="hybridMultilevel"/>
    <w:tmpl w:val="3F168D32"/>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5">
    <w:nsid w:val="536B665C"/>
    <w:multiLevelType w:val="multilevel"/>
    <w:tmpl w:val="3D066716"/>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864"/>
        </w:tabs>
        <w:ind w:left="720" w:hanging="360"/>
      </w:pPr>
      <w:rPr>
        <w:rFonts w:hint="default"/>
      </w:rPr>
    </w:lvl>
    <w:lvl w:ilvl="2">
      <w:start w:val="6"/>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36">
    <w:nsid w:val="56DF5F6E"/>
    <w:multiLevelType w:val="multilevel"/>
    <w:tmpl w:val="3D066716"/>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864"/>
        </w:tabs>
        <w:ind w:left="720" w:hanging="360"/>
      </w:pPr>
      <w:rPr>
        <w:rFonts w:hint="default"/>
      </w:rPr>
    </w:lvl>
    <w:lvl w:ilvl="2">
      <w:start w:val="6"/>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37">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A4264E0"/>
    <w:multiLevelType w:val="multilevel"/>
    <w:tmpl w:val="3D066716"/>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864"/>
        </w:tabs>
        <w:ind w:left="720" w:hanging="360"/>
      </w:pPr>
      <w:rPr>
        <w:rFonts w:hint="default"/>
      </w:rPr>
    </w:lvl>
    <w:lvl w:ilvl="2">
      <w:start w:val="6"/>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39">
    <w:nsid w:val="5B301BBA"/>
    <w:multiLevelType w:val="multilevel"/>
    <w:tmpl w:val="B2E0C0BC"/>
    <w:lvl w:ilvl="0">
      <w:start w:val="1"/>
      <w:numFmt w:val="bullet"/>
      <w:lvlText w:val=""/>
      <w:lvlJc w:val="left"/>
      <w:pPr>
        <w:tabs>
          <w:tab w:val="num" w:pos="1152"/>
        </w:tabs>
        <w:ind w:left="1152" w:hanging="360"/>
      </w:pPr>
      <w:rPr>
        <w:rFonts w:ascii="Symbol" w:hAnsi="Symbol" w:hint="default"/>
        <w:b w:val="0"/>
        <w:i w:val="0"/>
        <w:vanish w:val="0"/>
        <w:color w:val="auto"/>
        <w:sz w:val="22"/>
      </w:rPr>
    </w:lvl>
    <w:lvl w:ilvl="1">
      <w:start w:val="1"/>
      <w:numFmt w:val="bullet"/>
      <w:lvlText w:val="–"/>
      <w:lvlJc w:val="left"/>
      <w:pPr>
        <w:tabs>
          <w:tab w:val="num" w:pos="1512"/>
        </w:tabs>
        <w:ind w:left="1512" w:hanging="360"/>
      </w:pPr>
      <w:rPr>
        <w:rFonts w:ascii="Calibri" w:hAnsi="Calibri" w:hint="default"/>
        <w:b w:val="0"/>
        <w:i w:val="0"/>
        <w:vanish w:val="0"/>
        <w:color w:val="auto"/>
        <w:sz w:val="22"/>
      </w:rPr>
    </w:lvl>
    <w:lvl w:ilvl="2">
      <w:start w:val="1"/>
      <w:numFmt w:val="bullet"/>
      <w:lvlText w:val=""/>
      <w:lvlJc w:val="left"/>
      <w:pPr>
        <w:tabs>
          <w:tab w:val="num" w:pos="1944"/>
        </w:tabs>
        <w:ind w:left="1944" w:hanging="360"/>
      </w:pPr>
      <w:rPr>
        <w:rFonts w:ascii="Symbol" w:hAnsi="Symbol" w:hint="default"/>
        <w:b w:val="0"/>
        <w:i w:val="0"/>
        <w:vanish w:val="0"/>
        <w:color w:val="auto"/>
        <w:sz w:val="22"/>
      </w:rPr>
    </w:lvl>
    <w:lvl w:ilvl="3">
      <w:start w:val="1"/>
      <w:numFmt w:val="bullet"/>
      <w:lvlText w:val="–"/>
      <w:lvlJc w:val="left"/>
      <w:pPr>
        <w:tabs>
          <w:tab w:val="num" w:pos="2304"/>
        </w:tabs>
        <w:ind w:left="2304" w:hanging="360"/>
      </w:pPr>
      <w:rPr>
        <w:rFonts w:ascii="Calibri" w:hAnsi="Calibri" w:hint="default"/>
        <w:b w:val="0"/>
        <w:i w:val="0"/>
        <w:vanish w:val="0"/>
        <w:color w:val="auto"/>
        <w:sz w:val="22"/>
      </w:rPr>
    </w:lvl>
    <w:lvl w:ilvl="4">
      <w:start w:val="1"/>
      <w:numFmt w:val="bullet"/>
      <w:lvlText w:val=""/>
      <w:lvlJc w:val="left"/>
      <w:pPr>
        <w:tabs>
          <w:tab w:val="num" w:pos="3003"/>
        </w:tabs>
        <w:ind w:left="3003" w:hanging="283"/>
      </w:pPr>
      <w:rPr>
        <w:rFonts w:ascii="Symbol" w:hAnsi="Symbol" w:hint="default"/>
        <w:b w:val="0"/>
        <w:i w:val="0"/>
        <w:vanish w:val="0"/>
        <w:color w:val="auto"/>
        <w:sz w:val="22"/>
      </w:rPr>
    </w:lvl>
    <w:lvl w:ilvl="5">
      <w:start w:val="1"/>
      <w:numFmt w:val="bullet"/>
      <w:lvlText w:val=""/>
      <w:lvlJc w:val="left"/>
      <w:pPr>
        <w:tabs>
          <w:tab w:val="num" w:pos="3287"/>
        </w:tabs>
        <w:ind w:left="3287" w:hanging="284"/>
      </w:pPr>
      <w:rPr>
        <w:rFonts w:ascii="Symbol" w:hAnsi="Symbol" w:hint="default"/>
        <w:b w:val="0"/>
        <w:i w:val="0"/>
        <w:vanish w:val="0"/>
        <w:color w:val="auto"/>
        <w:sz w:val="22"/>
      </w:rPr>
    </w:lvl>
    <w:lvl w:ilvl="6">
      <w:start w:val="1"/>
      <w:numFmt w:val="bullet"/>
      <w:lvlText w:val=""/>
      <w:lvlJc w:val="left"/>
      <w:pPr>
        <w:tabs>
          <w:tab w:val="num" w:pos="3570"/>
        </w:tabs>
        <w:ind w:left="3570" w:hanging="283"/>
      </w:pPr>
      <w:rPr>
        <w:rFonts w:ascii="Symbol" w:hAnsi="Symbol" w:hint="default"/>
        <w:b w:val="0"/>
        <w:i w:val="0"/>
        <w:vanish w:val="0"/>
        <w:color w:val="auto"/>
        <w:sz w:val="22"/>
      </w:rPr>
    </w:lvl>
    <w:lvl w:ilvl="7">
      <w:start w:val="1"/>
      <w:numFmt w:val="bullet"/>
      <w:lvlText w:val=""/>
      <w:lvlJc w:val="left"/>
      <w:pPr>
        <w:tabs>
          <w:tab w:val="num" w:pos="3854"/>
        </w:tabs>
        <w:ind w:left="3854" w:hanging="284"/>
      </w:pPr>
      <w:rPr>
        <w:rFonts w:ascii="Symbol" w:hAnsi="Symbol" w:hint="default"/>
        <w:b w:val="0"/>
        <w:i w:val="0"/>
        <w:vanish w:val="0"/>
        <w:color w:val="auto"/>
        <w:sz w:val="22"/>
      </w:rPr>
    </w:lvl>
    <w:lvl w:ilvl="8">
      <w:start w:val="1"/>
      <w:numFmt w:val="bullet"/>
      <w:lvlText w:val=""/>
      <w:lvlJc w:val="left"/>
      <w:pPr>
        <w:tabs>
          <w:tab w:val="num" w:pos="4137"/>
        </w:tabs>
        <w:ind w:left="4137" w:hanging="283"/>
      </w:pPr>
      <w:rPr>
        <w:rFonts w:ascii="Symbol" w:hAnsi="Symbol" w:hint="default"/>
        <w:b w:val="0"/>
        <w:i w:val="0"/>
        <w:vanish w:val="0"/>
        <w:color w:val="auto"/>
        <w:sz w:val="22"/>
      </w:rPr>
    </w:lvl>
  </w:abstractNum>
  <w:abstractNum w:abstractNumId="40">
    <w:nsid w:val="5BCE2907"/>
    <w:multiLevelType w:val="multilevel"/>
    <w:tmpl w:val="3D066716"/>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864"/>
        </w:tabs>
        <w:ind w:left="720" w:hanging="360"/>
      </w:pPr>
      <w:rPr>
        <w:rFonts w:hint="default"/>
      </w:rPr>
    </w:lvl>
    <w:lvl w:ilvl="2">
      <w:start w:val="6"/>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41">
    <w:nsid w:val="5C53181D"/>
    <w:multiLevelType w:val="multilevel"/>
    <w:tmpl w:val="3D066716"/>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864"/>
        </w:tabs>
        <w:ind w:left="720" w:hanging="360"/>
      </w:pPr>
      <w:rPr>
        <w:rFonts w:hint="default"/>
      </w:rPr>
    </w:lvl>
    <w:lvl w:ilvl="2">
      <w:start w:val="6"/>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42">
    <w:nsid w:val="6094504D"/>
    <w:multiLevelType w:val="hybridMultilevel"/>
    <w:tmpl w:val="C8DC2BE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3">
    <w:nsid w:val="642766AC"/>
    <w:multiLevelType w:val="hybridMultilevel"/>
    <w:tmpl w:val="61DCD0DC"/>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4">
    <w:nsid w:val="66504D78"/>
    <w:multiLevelType w:val="hybridMultilevel"/>
    <w:tmpl w:val="5C7C5A50"/>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5">
    <w:nsid w:val="691B05A5"/>
    <w:multiLevelType w:val="hybridMultilevel"/>
    <w:tmpl w:val="8EC804EE"/>
    <w:lvl w:ilvl="0" w:tplc="61F8F6B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6">
    <w:nsid w:val="6DAC38BE"/>
    <w:multiLevelType w:val="hybridMultilevel"/>
    <w:tmpl w:val="140A2CC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7">
    <w:nsid w:val="6E0332E4"/>
    <w:multiLevelType w:val="hybridMultilevel"/>
    <w:tmpl w:val="B4ACA0F0"/>
    <w:lvl w:ilvl="0" w:tplc="5DF881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F95029C"/>
    <w:multiLevelType w:val="multilevel"/>
    <w:tmpl w:val="AB4037F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none"/>
      <w:suff w:val="nothing"/>
      <w:lvlText w:val=""/>
      <w:lvlJc w:val="left"/>
      <w:pPr>
        <w:ind w:left="792" w:firstLine="0"/>
      </w:pPr>
      <w:rPr>
        <w:rFonts w:hint="default"/>
      </w:rPr>
    </w:lvl>
    <w:lvl w:ilvl="6">
      <w:start w:val="1"/>
      <w:numFmt w:val="bullet"/>
      <w:lvlText w:val=""/>
      <w:lvlJc w:val="left"/>
      <w:pPr>
        <w:tabs>
          <w:tab w:val="num" w:pos="1296"/>
        </w:tabs>
        <w:ind w:left="1296" w:hanging="504"/>
      </w:pPr>
      <w:rPr>
        <w:rFonts w:ascii="Symbol" w:hAnsi="Symbol" w:hint="default"/>
      </w:rPr>
    </w:lvl>
    <w:lvl w:ilvl="7">
      <w:start w:val="1"/>
      <w:numFmt w:val="lowerRoman"/>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abstractNum w:abstractNumId="49">
    <w:nsid w:val="727D7330"/>
    <w:multiLevelType w:val="hybridMultilevel"/>
    <w:tmpl w:val="85D60864"/>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50">
    <w:nsid w:val="74E11FB4"/>
    <w:multiLevelType w:val="hybridMultilevel"/>
    <w:tmpl w:val="E8885B7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51">
    <w:nsid w:val="797B27BC"/>
    <w:multiLevelType w:val="multilevel"/>
    <w:tmpl w:val="365A995C"/>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864"/>
        </w:tabs>
        <w:ind w:left="720" w:hanging="360"/>
      </w:pPr>
      <w:rPr>
        <w:rFonts w:hint="default"/>
      </w:rPr>
    </w:lvl>
    <w:lvl w:ilvl="2">
      <w:start w:val="6"/>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52">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F1801C3"/>
    <w:multiLevelType w:val="hybridMultilevel"/>
    <w:tmpl w:val="856600A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54">
    <w:nsid w:val="7F867CB6"/>
    <w:multiLevelType w:val="multilevel"/>
    <w:tmpl w:val="7EFCF00E"/>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864"/>
        </w:tabs>
        <w:ind w:left="720" w:hanging="360"/>
      </w:pPr>
      <w:rPr>
        <w:rFonts w:hint="default"/>
      </w:rPr>
    </w:lvl>
    <w:lvl w:ilvl="2">
      <w:start w:val="6"/>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55">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0"/>
  </w:num>
  <w:num w:numId="2">
    <w:abstractNumId w:val="21"/>
  </w:num>
  <w:num w:numId="3">
    <w:abstractNumId w:val="52"/>
  </w:num>
  <w:num w:numId="4">
    <w:abstractNumId w:val="24"/>
  </w:num>
  <w:num w:numId="5">
    <w:abstractNumId w:val="37"/>
  </w:num>
  <w:num w:numId="6">
    <w:abstractNumId w:val="33"/>
  </w:num>
  <w:num w:numId="7">
    <w:abstractNumId w:val="2"/>
  </w:num>
  <w:num w:numId="8">
    <w:abstractNumId w:val="1"/>
  </w:num>
  <w:num w:numId="9">
    <w:abstractNumId w:val="0"/>
  </w:num>
  <w:num w:numId="10">
    <w:abstractNumId w:val="14"/>
  </w:num>
  <w:num w:numId="11">
    <w:abstractNumId w:val="46"/>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num>
  <w:num w:numId="15">
    <w:abstractNumId w:val="11"/>
  </w:num>
  <w:num w:numId="16">
    <w:abstractNumId w:val="6"/>
  </w:num>
  <w:num w:numId="17">
    <w:abstractNumId w:val="23"/>
  </w:num>
  <w:num w:numId="18">
    <w:abstractNumId w:val="45"/>
  </w:num>
  <w:num w:numId="19">
    <w:abstractNumId w:val="19"/>
  </w:num>
  <w:num w:numId="20">
    <w:abstractNumId w:val="26"/>
  </w:num>
  <w:num w:numId="21">
    <w:abstractNumId w:val="47"/>
  </w:num>
  <w:num w:numId="22">
    <w:abstractNumId w:val="55"/>
  </w:num>
  <w:num w:numId="23">
    <w:abstractNumId w:val="55"/>
  </w:num>
  <w:num w:numId="24">
    <w:abstractNumId w:val="55"/>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0"/>
  </w:num>
  <w:num w:numId="36">
    <w:abstractNumId w:val="35"/>
  </w:num>
  <w:num w:numId="37">
    <w:abstractNumId w:val="4"/>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7"/>
  </w:num>
  <w:num w:numId="42">
    <w:abstractNumId w:val="28"/>
  </w:num>
  <w:num w:numId="43">
    <w:abstractNumId w:val="50"/>
  </w:num>
  <w:num w:numId="44">
    <w:abstractNumId w:val="27"/>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22"/>
  </w:num>
  <w:num w:numId="54">
    <w:abstractNumId w:val="8"/>
  </w:num>
  <w:num w:numId="55">
    <w:abstractNumId w:val="3"/>
  </w:num>
  <w:num w:numId="56">
    <w:abstractNumId w:val="51"/>
  </w:num>
  <w:num w:numId="57">
    <w:abstractNumId w:val="43"/>
  </w:num>
  <w:num w:numId="58">
    <w:abstractNumId w:val="39"/>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25"/>
  </w:num>
  <w:num w:numId="62">
    <w:abstractNumId w:val="34"/>
  </w:num>
  <w:num w:numId="63">
    <w:abstractNumId w:val="32"/>
  </w:num>
  <w:num w:numId="64">
    <w:abstractNumId w:val="42"/>
  </w:num>
  <w:num w:numId="65">
    <w:abstractNumId w:val="53"/>
  </w:num>
  <w:num w:numId="66">
    <w:abstractNumId w:val="7"/>
  </w:num>
  <w:num w:numId="67">
    <w:abstractNumId w:val="55"/>
  </w:num>
  <w:num w:numId="68">
    <w:abstractNumId w:val="54"/>
  </w:num>
  <w:num w:numId="69">
    <w:abstractNumId w:val="16"/>
  </w:num>
  <w:num w:numId="70">
    <w:abstractNumId w:val="55"/>
  </w:num>
  <w:num w:numId="71">
    <w:abstractNumId w:val="55"/>
  </w:num>
  <w:num w:numId="72">
    <w:abstractNumId w:val="36"/>
  </w:num>
  <w:num w:numId="73">
    <w:abstractNumId w:val="55"/>
  </w:num>
  <w:num w:numId="74">
    <w:abstractNumId w:val="55"/>
  </w:num>
  <w:num w:numId="75">
    <w:abstractNumId w:val="55"/>
  </w:num>
  <w:num w:numId="76">
    <w:abstractNumId w:val="55"/>
  </w:num>
  <w:num w:numId="77">
    <w:abstractNumId w:val="38"/>
  </w:num>
  <w:num w:numId="78">
    <w:abstractNumId w:val="55"/>
  </w:num>
  <w:num w:numId="79">
    <w:abstractNumId w:val="10"/>
  </w:num>
  <w:num w:numId="80">
    <w:abstractNumId w:val="31"/>
  </w:num>
  <w:num w:numId="81">
    <w:abstractNumId w:val="20"/>
  </w:num>
  <w:num w:numId="82">
    <w:abstractNumId w:val="44"/>
  </w:num>
  <w:num w:numId="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num>
  <w:num w:numId="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num>
  <w:num w:numId="89">
    <w:abstractNumId w:val="13"/>
  </w:num>
  <w:num w:numId="90">
    <w:abstractNumId w:val="48"/>
  </w:num>
  <w:num w:numId="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num>
  <w:num w:numId="9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rson w15:author="CPHome">
    <w15:presenceInfo w15:providerId="None" w15:userId="CP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B4"/>
    <w:rsid w:val="00000294"/>
    <w:rsid w:val="00011F5A"/>
    <w:rsid w:val="00012F6F"/>
    <w:rsid w:val="00014213"/>
    <w:rsid w:val="00014ACA"/>
    <w:rsid w:val="00014B55"/>
    <w:rsid w:val="00020E3E"/>
    <w:rsid w:val="00022F99"/>
    <w:rsid w:val="000233A2"/>
    <w:rsid w:val="00023BF3"/>
    <w:rsid w:val="00025FA7"/>
    <w:rsid w:val="00026811"/>
    <w:rsid w:val="0003440F"/>
    <w:rsid w:val="000405B7"/>
    <w:rsid w:val="0004107D"/>
    <w:rsid w:val="00042AFB"/>
    <w:rsid w:val="000432F3"/>
    <w:rsid w:val="00043514"/>
    <w:rsid w:val="00045025"/>
    <w:rsid w:val="00045FE3"/>
    <w:rsid w:val="000517AB"/>
    <w:rsid w:val="0005201E"/>
    <w:rsid w:val="00055A6E"/>
    <w:rsid w:val="00056F4E"/>
    <w:rsid w:val="0006145B"/>
    <w:rsid w:val="000678BA"/>
    <w:rsid w:val="0007090A"/>
    <w:rsid w:val="000734ED"/>
    <w:rsid w:val="00074069"/>
    <w:rsid w:val="000750FF"/>
    <w:rsid w:val="00075C74"/>
    <w:rsid w:val="00075E6C"/>
    <w:rsid w:val="000763CB"/>
    <w:rsid w:val="000807DC"/>
    <w:rsid w:val="00081C12"/>
    <w:rsid w:val="00091495"/>
    <w:rsid w:val="00092168"/>
    <w:rsid w:val="00092745"/>
    <w:rsid w:val="00094AB6"/>
    <w:rsid w:val="00094D53"/>
    <w:rsid w:val="000950D1"/>
    <w:rsid w:val="0009579D"/>
    <w:rsid w:val="000A08CE"/>
    <w:rsid w:val="000A1707"/>
    <w:rsid w:val="000A2DC2"/>
    <w:rsid w:val="000A3679"/>
    <w:rsid w:val="000A3EB1"/>
    <w:rsid w:val="000B1509"/>
    <w:rsid w:val="000B29AD"/>
    <w:rsid w:val="000B2F58"/>
    <w:rsid w:val="000B30EE"/>
    <w:rsid w:val="000B3E5A"/>
    <w:rsid w:val="000B56C4"/>
    <w:rsid w:val="000B672C"/>
    <w:rsid w:val="000C0E4D"/>
    <w:rsid w:val="000C3BE4"/>
    <w:rsid w:val="000C4837"/>
    <w:rsid w:val="000C6372"/>
    <w:rsid w:val="000C64B6"/>
    <w:rsid w:val="000C67E3"/>
    <w:rsid w:val="000D2E21"/>
    <w:rsid w:val="000D450A"/>
    <w:rsid w:val="000D4A4C"/>
    <w:rsid w:val="000D52A6"/>
    <w:rsid w:val="000D54C3"/>
    <w:rsid w:val="000D62CE"/>
    <w:rsid w:val="000D7811"/>
    <w:rsid w:val="000E2696"/>
    <w:rsid w:val="000E392D"/>
    <w:rsid w:val="000E3C08"/>
    <w:rsid w:val="000E517E"/>
    <w:rsid w:val="000E55BD"/>
    <w:rsid w:val="000E7E21"/>
    <w:rsid w:val="000F010F"/>
    <w:rsid w:val="000F1392"/>
    <w:rsid w:val="000F4288"/>
    <w:rsid w:val="000F43A0"/>
    <w:rsid w:val="000F4E0D"/>
    <w:rsid w:val="000F5D95"/>
    <w:rsid w:val="000F6907"/>
    <w:rsid w:val="000F7165"/>
    <w:rsid w:val="00100D4E"/>
    <w:rsid w:val="00102379"/>
    <w:rsid w:val="00104937"/>
    <w:rsid w:val="001060C9"/>
    <w:rsid w:val="001065D6"/>
    <w:rsid w:val="001068D5"/>
    <w:rsid w:val="00107A37"/>
    <w:rsid w:val="0011304F"/>
    <w:rsid w:val="00113958"/>
    <w:rsid w:val="00116A15"/>
    <w:rsid w:val="0011739A"/>
    <w:rsid w:val="0011776C"/>
    <w:rsid w:val="001202BF"/>
    <w:rsid w:val="00121252"/>
    <w:rsid w:val="00121529"/>
    <w:rsid w:val="00121C20"/>
    <w:rsid w:val="0012370D"/>
    <w:rsid w:val="0012382B"/>
    <w:rsid w:val="00124609"/>
    <w:rsid w:val="001254CE"/>
    <w:rsid w:val="00130DF7"/>
    <w:rsid w:val="001316CD"/>
    <w:rsid w:val="00131AD0"/>
    <w:rsid w:val="00131C3C"/>
    <w:rsid w:val="00132807"/>
    <w:rsid w:val="00132B78"/>
    <w:rsid w:val="00132E13"/>
    <w:rsid w:val="00133C11"/>
    <w:rsid w:val="00134994"/>
    <w:rsid w:val="00136496"/>
    <w:rsid w:val="00136559"/>
    <w:rsid w:val="0014007E"/>
    <w:rsid w:val="001422CC"/>
    <w:rsid w:val="001423FC"/>
    <w:rsid w:val="00145FD0"/>
    <w:rsid w:val="00146B34"/>
    <w:rsid w:val="00147726"/>
    <w:rsid w:val="0015047B"/>
    <w:rsid w:val="00151237"/>
    <w:rsid w:val="00153A86"/>
    <w:rsid w:val="001569BD"/>
    <w:rsid w:val="00156A3E"/>
    <w:rsid w:val="001617B6"/>
    <w:rsid w:val="00165E66"/>
    <w:rsid w:val="001662C9"/>
    <w:rsid w:val="00167400"/>
    <w:rsid w:val="00167F4F"/>
    <w:rsid w:val="001715FF"/>
    <w:rsid w:val="00173FDB"/>
    <w:rsid w:val="001779CC"/>
    <w:rsid w:val="001805C4"/>
    <w:rsid w:val="0018102F"/>
    <w:rsid w:val="001823F8"/>
    <w:rsid w:val="001841DD"/>
    <w:rsid w:val="001901A8"/>
    <w:rsid w:val="00190505"/>
    <w:rsid w:val="00191598"/>
    <w:rsid w:val="0019219C"/>
    <w:rsid w:val="00196143"/>
    <w:rsid w:val="001965D7"/>
    <w:rsid w:val="00197A03"/>
    <w:rsid w:val="001A5C8C"/>
    <w:rsid w:val="001B12A7"/>
    <w:rsid w:val="001B4A9F"/>
    <w:rsid w:val="001B5C12"/>
    <w:rsid w:val="001B6E62"/>
    <w:rsid w:val="001B73C3"/>
    <w:rsid w:val="001B7EBC"/>
    <w:rsid w:val="001C17E3"/>
    <w:rsid w:val="001C21D3"/>
    <w:rsid w:val="001C24D3"/>
    <w:rsid w:val="001C29AE"/>
    <w:rsid w:val="001C4194"/>
    <w:rsid w:val="001C42E6"/>
    <w:rsid w:val="001C5891"/>
    <w:rsid w:val="001C613B"/>
    <w:rsid w:val="001C7BAE"/>
    <w:rsid w:val="001D03AB"/>
    <w:rsid w:val="001D07DE"/>
    <w:rsid w:val="001D4BD8"/>
    <w:rsid w:val="001D5A81"/>
    <w:rsid w:val="001D728D"/>
    <w:rsid w:val="001E2F07"/>
    <w:rsid w:val="001E31FA"/>
    <w:rsid w:val="001E3BE7"/>
    <w:rsid w:val="001E46FA"/>
    <w:rsid w:val="001E5007"/>
    <w:rsid w:val="001E54AE"/>
    <w:rsid w:val="001E64F6"/>
    <w:rsid w:val="001E7B8A"/>
    <w:rsid w:val="001F133B"/>
    <w:rsid w:val="001F1B73"/>
    <w:rsid w:val="001F4792"/>
    <w:rsid w:val="001F5740"/>
    <w:rsid w:val="002010BD"/>
    <w:rsid w:val="0020228A"/>
    <w:rsid w:val="00204B82"/>
    <w:rsid w:val="00205156"/>
    <w:rsid w:val="002052AB"/>
    <w:rsid w:val="002101B2"/>
    <w:rsid w:val="00213534"/>
    <w:rsid w:val="00215442"/>
    <w:rsid w:val="00215700"/>
    <w:rsid w:val="00221B15"/>
    <w:rsid w:val="002227C7"/>
    <w:rsid w:val="00222BEB"/>
    <w:rsid w:val="00224710"/>
    <w:rsid w:val="002256BD"/>
    <w:rsid w:val="00225E5C"/>
    <w:rsid w:val="00225E60"/>
    <w:rsid w:val="00226B90"/>
    <w:rsid w:val="00230521"/>
    <w:rsid w:val="00231A72"/>
    <w:rsid w:val="0023202C"/>
    <w:rsid w:val="002325A1"/>
    <w:rsid w:val="00232F67"/>
    <w:rsid w:val="00233150"/>
    <w:rsid w:val="00233897"/>
    <w:rsid w:val="002345F2"/>
    <w:rsid w:val="00241517"/>
    <w:rsid w:val="00241A92"/>
    <w:rsid w:val="00242C64"/>
    <w:rsid w:val="002430D7"/>
    <w:rsid w:val="00245043"/>
    <w:rsid w:val="0025232E"/>
    <w:rsid w:val="002536C8"/>
    <w:rsid w:val="002536F9"/>
    <w:rsid w:val="00256C86"/>
    <w:rsid w:val="00257825"/>
    <w:rsid w:val="00260D97"/>
    <w:rsid w:val="00262A69"/>
    <w:rsid w:val="00263096"/>
    <w:rsid w:val="002640E9"/>
    <w:rsid w:val="002676C6"/>
    <w:rsid w:val="002707CE"/>
    <w:rsid w:val="00270B6A"/>
    <w:rsid w:val="00271A91"/>
    <w:rsid w:val="00273D78"/>
    <w:rsid w:val="002744B9"/>
    <w:rsid w:val="00283CA3"/>
    <w:rsid w:val="002845F6"/>
    <w:rsid w:val="00286209"/>
    <w:rsid w:val="00286589"/>
    <w:rsid w:val="00287760"/>
    <w:rsid w:val="002918AF"/>
    <w:rsid w:val="00292D36"/>
    <w:rsid w:val="00294DC5"/>
    <w:rsid w:val="0029606D"/>
    <w:rsid w:val="00297281"/>
    <w:rsid w:val="0029768A"/>
    <w:rsid w:val="002A1F49"/>
    <w:rsid w:val="002A26B3"/>
    <w:rsid w:val="002A464A"/>
    <w:rsid w:val="002A5B89"/>
    <w:rsid w:val="002B04DC"/>
    <w:rsid w:val="002B44D8"/>
    <w:rsid w:val="002B5E2B"/>
    <w:rsid w:val="002B66BE"/>
    <w:rsid w:val="002B6F5B"/>
    <w:rsid w:val="002B7244"/>
    <w:rsid w:val="002C1862"/>
    <w:rsid w:val="002C194C"/>
    <w:rsid w:val="002C30FF"/>
    <w:rsid w:val="002C566B"/>
    <w:rsid w:val="002C71F4"/>
    <w:rsid w:val="002D0AAE"/>
    <w:rsid w:val="002D2399"/>
    <w:rsid w:val="002D4B0E"/>
    <w:rsid w:val="002D6698"/>
    <w:rsid w:val="002D711A"/>
    <w:rsid w:val="002D7336"/>
    <w:rsid w:val="002E099F"/>
    <w:rsid w:val="002E3396"/>
    <w:rsid w:val="002E5C00"/>
    <w:rsid w:val="002E7BCD"/>
    <w:rsid w:val="002F146A"/>
    <w:rsid w:val="002F16A9"/>
    <w:rsid w:val="002F61BA"/>
    <w:rsid w:val="002F7485"/>
    <w:rsid w:val="00300919"/>
    <w:rsid w:val="003024D5"/>
    <w:rsid w:val="00302598"/>
    <w:rsid w:val="00303AFD"/>
    <w:rsid w:val="0030760E"/>
    <w:rsid w:val="00311042"/>
    <w:rsid w:val="0031149C"/>
    <w:rsid w:val="00317A7D"/>
    <w:rsid w:val="00320842"/>
    <w:rsid w:val="00324824"/>
    <w:rsid w:val="00324A80"/>
    <w:rsid w:val="00326C3B"/>
    <w:rsid w:val="00334380"/>
    <w:rsid w:val="00337226"/>
    <w:rsid w:val="003372F0"/>
    <w:rsid w:val="00341002"/>
    <w:rsid w:val="0034149A"/>
    <w:rsid w:val="00341B1C"/>
    <w:rsid w:val="00341BFF"/>
    <w:rsid w:val="003430C7"/>
    <w:rsid w:val="00343146"/>
    <w:rsid w:val="003434AC"/>
    <w:rsid w:val="00343AA4"/>
    <w:rsid w:val="0034548F"/>
    <w:rsid w:val="003479EF"/>
    <w:rsid w:val="003510A7"/>
    <w:rsid w:val="0035491D"/>
    <w:rsid w:val="00355590"/>
    <w:rsid w:val="00357379"/>
    <w:rsid w:val="00361462"/>
    <w:rsid w:val="00365B5A"/>
    <w:rsid w:val="00366DC8"/>
    <w:rsid w:val="00367C10"/>
    <w:rsid w:val="00371116"/>
    <w:rsid w:val="003713DE"/>
    <w:rsid w:val="00373BB7"/>
    <w:rsid w:val="00381F4F"/>
    <w:rsid w:val="0038317A"/>
    <w:rsid w:val="00384EFB"/>
    <w:rsid w:val="00385705"/>
    <w:rsid w:val="003858F9"/>
    <w:rsid w:val="00385ED8"/>
    <w:rsid w:val="0038771C"/>
    <w:rsid w:val="003968E3"/>
    <w:rsid w:val="0039692D"/>
    <w:rsid w:val="00397536"/>
    <w:rsid w:val="003A3F74"/>
    <w:rsid w:val="003A541A"/>
    <w:rsid w:val="003A5C3A"/>
    <w:rsid w:val="003A6923"/>
    <w:rsid w:val="003A736F"/>
    <w:rsid w:val="003B34F5"/>
    <w:rsid w:val="003B4E31"/>
    <w:rsid w:val="003C28E5"/>
    <w:rsid w:val="003C2C67"/>
    <w:rsid w:val="003C3D52"/>
    <w:rsid w:val="003C552D"/>
    <w:rsid w:val="003C5BA4"/>
    <w:rsid w:val="003C6527"/>
    <w:rsid w:val="003D02BA"/>
    <w:rsid w:val="003D1BE7"/>
    <w:rsid w:val="003D262B"/>
    <w:rsid w:val="003D272A"/>
    <w:rsid w:val="003D3A4A"/>
    <w:rsid w:val="003D5256"/>
    <w:rsid w:val="003D5C14"/>
    <w:rsid w:val="003D74EB"/>
    <w:rsid w:val="003D7E19"/>
    <w:rsid w:val="003E07C9"/>
    <w:rsid w:val="003E3E26"/>
    <w:rsid w:val="003E4944"/>
    <w:rsid w:val="003E4F73"/>
    <w:rsid w:val="003F0A08"/>
    <w:rsid w:val="003F0DC3"/>
    <w:rsid w:val="003F1295"/>
    <w:rsid w:val="003F140D"/>
    <w:rsid w:val="003F19CE"/>
    <w:rsid w:val="003F2219"/>
    <w:rsid w:val="003F33B3"/>
    <w:rsid w:val="003F3F57"/>
    <w:rsid w:val="003F66B7"/>
    <w:rsid w:val="003F76FC"/>
    <w:rsid w:val="004002EB"/>
    <w:rsid w:val="00402C76"/>
    <w:rsid w:val="004037F7"/>
    <w:rsid w:val="00406471"/>
    <w:rsid w:val="00413BFC"/>
    <w:rsid w:val="00414C6B"/>
    <w:rsid w:val="0042154B"/>
    <w:rsid w:val="00421C63"/>
    <w:rsid w:val="004231B5"/>
    <w:rsid w:val="004236C8"/>
    <w:rsid w:val="00426693"/>
    <w:rsid w:val="0042704D"/>
    <w:rsid w:val="004270C5"/>
    <w:rsid w:val="00427681"/>
    <w:rsid w:val="004333F9"/>
    <w:rsid w:val="004335C5"/>
    <w:rsid w:val="00433DB7"/>
    <w:rsid w:val="004346F1"/>
    <w:rsid w:val="00434F21"/>
    <w:rsid w:val="00440165"/>
    <w:rsid w:val="00440269"/>
    <w:rsid w:val="00440581"/>
    <w:rsid w:val="00441908"/>
    <w:rsid w:val="00443739"/>
    <w:rsid w:val="00447980"/>
    <w:rsid w:val="00451821"/>
    <w:rsid w:val="00452439"/>
    <w:rsid w:val="00452EB7"/>
    <w:rsid w:val="00453659"/>
    <w:rsid w:val="00453750"/>
    <w:rsid w:val="00453C16"/>
    <w:rsid w:val="00456941"/>
    <w:rsid w:val="004613D1"/>
    <w:rsid w:val="00463B86"/>
    <w:rsid w:val="00464081"/>
    <w:rsid w:val="004702EA"/>
    <w:rsid w:val="00471906"/>
    <w:rsid w:val="00473761"/>
    <w:rsid w:val="0047467F"/>
    <w:rsid w:val="004805A1"/>
    <w:rsid w:val="0048259C"/>
    <w:rsid w:val="00482D02"/>
    <w:rsid w:val="00485A95"/>
    <w:rsid w:val="00486C5E"/>
    <w:rsid w:val="004879C4"/>
    <w:rsid w:val="00490F11"/>
    <w:rsid w:val="004917EE"/>
    <w:rsid w:val="00493D4B"/>
    <w:rsid w:val="004955D1"/>
    <w:rsid w:val="004961FD"/>
    <w:rsid w:val="00496A53"/>
    <w:rsid w:val="00496B17"/>
    <w:rsid w:val="004979AD"/>
    <w:rsid w:val="004A0EA6"/>
    <w:rsid w:val="004A423D"/>
    <w:rsid w:val="004A4EBD"/>
    <w:rsid w:val="004A61E2"/>
    <w:rsid w:val="004A6EBE"/>
    <w:rsid w:val="004A73DF"/>
    <w:rsid w:val="004A7519"/>
    <w:rsid w:val="004A77AA"/>
    <w:rsid w:val="004B378B"/>
    <w:rsid w:val="004B585F"/>
    <w:rsid w:val="004B7F77"/>
    <w:rsid w:val="004C0164"/>
    <w:rsid w:val="004C36D8"/>
    <w:rsid w:val="004D1120"/>
    <w:rsid w:val="004D3518"/>
    <w:rsid w:val="004D6165"/>
    <w:rsid w:val="004D62D6"/>
    <w:rsid w:val="004E02D4"/>
    <w:rsid w:val="004E2FD2"/>
    <w:rsid w:val="004E367E"/>
    <w:rsid w:val="004E5F1B"/>
    <w:rsid w:val="004F1151"/>
    <w:rsid w:val="004F1BDB"/>
    <w:rsid w:val="004F5C3E"/>
    <w:rsid w:val="004F7BBC"/>
    <w:rsid w:val="005008FD"/>
    <w:rsid w:val="0050396B"/>
    <w:rsid w:val="005055EB"/>
    <w:rsid w:val="00505D55"/>
    <w:rsid w:val="005071FD"/>
    <w:rsid w:val="005121E0"/>
    <w:rsid w:val="005128AF"/>
    <w:rsid w:val="00513448"/>
    <w:rsid w:val="005149E8"/>
    <w:rsid w:val="00515605"/>
    <w:rsid w:val="00516163"/>
    <w:rsid w:val="005165E0"/>
    <w:rsid w:val="00516C54"/>
    <w:rsid w:val="00517307"/>
    <w:rsid w:val="005173A7"/>
    <w:rsid w:val="00524AC9"/>
    <w:rsid w:val="00524F7E"/>
    <w:rsid w:val="00526190"/>
    <w:rsid w:val="00526BFE"/>
    <w:rsid w:val="00526DB9"/>
    <w:rsid w:val="00531235"/>
    <w:rsid w:val="00532CD0"/>
    <w:rsid w:val="00533339"/>
    <w:rsid w:val="00533612"/>
    <w:rsid w:val="0053416C"/>
    <w:rsid w:val="00535E94"/>
    <w:rsid w:val="005366E3"/>
    <w:rsid w:val="005367E0"/>
    <w:rsid w:val="00537065"/>
    <w:rsid w:val="00537654"/>
    <w:rsid w:val="00540199"/>
    <w:rsid w:val="00541C2F"/>
    <w:rsid w:val="00545605"/>
    <w:rsid w:val="005457E1"/>
    <w:rsid w:val="005462F9"/>
    <w:rsid w:val="0054748A"/>
    <w:rsid w:val="005476DA"/>
    <w:rsid w:val="0055042A"/>
    <w:rsid w:val="00550AEB"/>
    <w:rsid w:val="00552171"/>
    <w:rsid w:val="0055355C"/>
    <w:rsid w:val="00554BC6"/>
    <w:rsid w:val="005550D4"/>
    <w:rsid w:val="005615BC"/>
    <w:rsid w:val="00563527"/>
    <w:rsid w:val="0056478D"/>
    <w:rsid w:val="00565FE5"/>
    <w:rsid w:val="00566152"/>
    <w:rsid w:val="00567586"/>
    <w:rsid w:val="005707A8"/>
    <w:rsid w:val="00572231"/>
    <w:rsid w:val="0057235D"/>
    <w:rsid w:val="0057499E"/>
    <w:rsid w:val="00576428"/>
    <w:rsid w:val="00577B71"/>
    <w:rsid w:val="0058124E"/>
    <w:rsid w:val="00581FF7"/>
    <w:rsid w:val="00583344"/>
    <w:rsid w:val="005845E4"/>
    <w:rsid w:val="00584FEB"/>
    <w:rsid w:val="0058605D"/>
    <w:rsid w:val="005875A3"/>
    <w:rsid w:val="005904D6"/>
    <w:rsid w:val="005908FB"/>
    <w:rsid w:val="00591A0D"/>
    <w:rsid w:val="00592083"/>
    <w:rsid w:val="00593416"/>
    <w:rsid w:val="0059463B"/>
    <w:rsid w:val="00595779"/>
    <w:rsid w:val="00596703"/>
    <w:rsid w:val="00597E52"/>
    <w:rsid w:val="005A03EF"/>
    <w:rsid w:val="005A3416"/>
    <w:rsid w:val="005A426D"/>
    <w:rsid w:val="005A5591"/>
    <w:rsid w:val="005A78DF"/>
    <w:rsid w:val="005B27FE"/>
    <w:rsid w:val="005B3133"/>
    <w:rsid w:val="005B3351"/>
    <w:rsid w:val="005B47A0"/>
    <w:rsid w:val="005B602F"/>
    <w:rsid w:val="005B62E4"/>
    <w:rsid w:val="005B6F11"/>
    <w:rsid w:val="005B737B"/>
    <w:rsid w:val="005B79CB"/>
    <w:rsid w:val="005C0061"/>
    <w:rsid w:val="005C2BC9"/>
    <w:rsid w:val="005C437A"/>
    <w:rsid w:val="005C522A"/>
    <w:rsid w:val="005C5BED"/>
    <w:rsid w:val="005C76A2"/>
    <w:rsid w:val="005D1B5D"/>
    <w:rsid w:val="005D34F2"/>
    <w:rsid w:val="005D5F12"/>
    <w:rsid w:val="005D6ED4"/>
    <w:rsid w:val="005D7FE9"/>
    <w:rsid w:val="005E0C03"/>
    <w:rsid w:val="005E23AD"/>
    <w:rsid w:val="005E3452"/>
    <w:rsid w:val="005E4C16"/>
    <w:rsid w:val="005E64AB"/>
    <w:rsid w:val="005F0085"/>
    <w:rsid w:val="005F2A25"/>
    <w:rsid w:val="005F5125"/>
    <w:rsid w:val="005F61DF"/>
    <w:rsid w:val="005F74C7"/>
    <w:rsid w:val="00600DE7"/>
    <w:rsid w:val="006023F9"/>
    <w:rsid w:val="0060329E"/>
    <w:rsid w:val="006048E6"/>
    <w:rsid w:val="00605D86"/>
    <w:rsid w:val="00610559"/>
    <w:rsid w:val="00611E29"/>
    <w:rsid w:val="00613824"/>
    <w:rsid w:val="00613DC6"/>
    <w:rsid w:val="006141A9"/>
    <w:rsid w:val="006205B4"/>
    <w:rsid w:val="00620C6C"/>
    <w:rsid w:val="00624A18"/>
    <w:rsid w:val="00624A9C"/>
    <w:rsid w:val="00625513"/>
    <w:rsid w:val="00625B60"/>
    <w:rsid w:val="00625F31"/>
    <w:rsid w:val="00631C08"/>
    <w:rsid w:val="00631FB7"/>
    <w:rsid w:val="00632F2E"/>
    <w:rsid w:val="006332F6"/>
    <w:rsid w:val="0063443B"/>
    <w:rsid w:val="00636D90"/>
    <w:rsid w:val="00636E10"/>
    <w:rsid w:val="0064051A"/>
    <w:rsid w:val="00643C34"/>
    <w:rsid w:val="00643C8B"/>
    <w:rsid w:val="006442CA"/>
    <w:rsid w:val="006451B7"/>
    <w:rsid w:val="00645206"/>
    <w:rsid w:val="006452B3"/>
    <w:rsid w:val="00645B19"/>
    <w:rsid w:val="00651606"/>
    <w:rsid w:val="00651D0B"/>
    <w:rsid w:val="00652E55"/>
    <w:rsid w:val="006534B2"/>
    <w:rsid w:val="00653BA1"/>
    <w:rsid w:val="006552A9"/>
    <w:rsid w:val="0065615D"/>
    <w:rsid w:val="00656EB9"/>
    <w:rsid w:val="00657011"/>
    <w:rsid w:val="00660FE5"/>
    <w:rsid w:val="006624F7"/>
    <w:rsid w:val="0066278A"/>
    <w:rsid w:val="0066373F"/>
    <w:rsid w:val="006650B5"/>
    <w:rsid w:val="006651B1"/>
    <w:rsid w:val="00665778"/>
    <w:rsid w:val="00666244"/>
    <w:rsid w:val="0067075D"/>
    <w:rsid w:val="0067353A"/>
    <w:rsid w:val="006748C7"/>
    <w:rsid w:val="00675212"/>
    <w:rsid w:val="00680B39"/>
    <w:rsid w:val="00686C5E"/>
    <w:rsid w:val="006901AE"/>
    <w:rsid w:val="00690E1E"/>
    <w:rsid w:val="006926C1"/>
    <w:rsid w:val="00694F48"/>
    <w:rsid w:val="00695A2B"/>
    <w:rsid w:val="00696C7D"/>
    <w:rsid w:val="006979A0"/>
    <w:rsid w:val="00697A64"/>
    <w:rsid w:val="006A08DA"/>
    <w:rsid w:val="006A21C4"/>
    <w:rsid w:val="006A3133"/>
    <w:rsid w:val="006A4A2C"/>
    <w:rsid w:val="006A5B34"/>
    <w:rsid w:val="006B11CE"/>
    <w:rsid w:val="006B4DAA"/>
    <w:rsid w:val="006B5CC7"/>
    <w:rsid w:val="006C2540"/>
    <w:rsid w:val="006C3E44"/>
    <w:rsid w:val="006C3E80"/>
    <w:rsid w:val="006C3F81"/>
    <w:rsid w:val="006C4F4E"/>
    <w:rsid w:val="006C5244"/>
    <w:rsid w:val="006C6042"/>
    <w:rsid w:val="006C66DD"/>
    <w:rsid w:val="006C77A9"/>
    <w:rsid w:val="006D1D32"/>
    <w:rsid w:val="006D30F8"/>
    <w:rsid w:val="006D33F3"/>
    <w:rsid w:val="006D6555"/>
    <w:rsid w:val="006D6CA0"/>
    <w:rsid w:val="006D7FD5"/>
    <w:rsid w:val="006E192A"/>
    <w:rsid w:val="006E22B2"/>
    <w:rsid w:val="006E2F21"/>
    <w:rsid w:val="006E5480"/>
    <w:rsid w:val="006E6767"/>
    <w:rsid w:val="006F293B"/>
    <w:rsid w:val="006F37F2"/>
    <w:rsid w:val="006F6693"/>
    <w:rsid w:val="006F7AE3"/>
    <w:rsid w:val="00700D0D"/>
    <w:rsid w:val="007013F9"/>
    <w:rsid w:val="00701BC9"/>
    <w:rsid w:val="00707FE8"/>
    <w:rsid w:val="0071403E"/>
    <w:rsid w:val="007153EB"/>
    <w:rsid w:val="00715F61"/>
    <w:rsid w:val="0071611B"/>
    <w:rsid w:val="0072367C"/>
    <w:rsid w:val="00724962"/>
    <w:rsid w:val="00724A0F"/>
    <w:rsid w:val="00726781"/>
    <w:rsid w:val="00726B88"/>
    <w:rsid w:val="00727C78"/>
    <w:rsid w:val="007305CC"/>
    <w:rsid w:val="0073512B"/>
    <w:rsid w:val="00735C8A"/>
    <w:rsid w:val="00736732"/>
    <w:rsid w:val="00736E6E"/>
    <w:rsid w:val="00737D50"/>
    <w:rsid w:val="007403A1"/>
    <w:rsid w:val="007439F3"/>
    <w:rsid w:val="00744342"/>
    <w:rsid w:val="00745BA1"/>
    <w:rsid w:val="00746BFF"/>
    <w:rsid w:val="00746C10"/>
    <w:rsid w:val="00750CBE"/>
    <w:rsid w:val="007537E2"/>
    <w:rsid w:val="00755D9B"/>
    <w:rsid w:val="007574E5"/>
    <w:rsid w:val="00765778"/>
    <w:rsid w:val="00765E2C"/>
    <w:rsid w:val="00766792"/>
    <w:rsid w:val="00766B5A"/>
    <w:rsid w:val="00767304"/>
    <w:rsid w:val="00767B53"/>
    <w:rsid w:val="007701BE"/>
    <w:rsid w:val="007717D1"/>
    <w:rsid w:val="00771801"/>
    <w:rsid w:val="00772B03"/>
    <w:rsid w:val="007744D8"/>
    <w:rsid w:val="0077474C"/>
    <w:rsid w:val="007770A5"/>
    <w:rsid w:val="0077761F"/>
    <w:rsid w:val="007834F2"/>
    <w:rsid w:val="0078401B"/>
    <w:rsid w:val="007847CC"/>
    <w:rsid w:val="00784DC4"/>
    <w:rsid w:val="00785C28"/>
    <w:rsid w:val="00791020"/>
    <w:rsid w:val="007912F4"/>
    <w:rsid w:val="007919CC"/>
    <w:rsid w:val="00791DDA"/>
    <w:rsid w:val="0079509A"/>
    <w:rsid w:val="00796EE5"/>
    <w:rsid w:val="00797ADC"/>
    <w:rsid w:val="007A04D2"/>
    <w:rsid w:val="007A5F82"/>
    <w:rsid w:val="007A649B"/>
    <w:rsid w:val="007A6E36"/>
    <w:rsid w:val="007B0566"/>
    <w:rsid w:val="007B0F02"/>
    <w:rsid w:val="007B3CB4"/>
    <w:rsid w:val="007B4952"/>
    <w:rsid w:val="007C1C01"/>
    <w:rsid w:val="007C35DD"/>
    <w:rsid w:val="007D054D"/>
    <w:rsid w:val="007D39B6"/>
    <w:rsid w:val="007D5281"/>
    <w:rsid w:val="007D5D51"/>
    <w:rsid w:val="007D6394"/>
    <w:rsid w:val="007D756F"/>
    <w:rsid w:val="007E0B84"/>
    <w:rsid w:val="007E1D39"/>
    <w:rsid w:val="007E267B"/>
    <w:rsid w:val="007E3462"/>
    <w:rsid w:val="007E4EBA"/>
    <w:rsid w:val="007E520F"/>
    <w:rsid w:val="007E60D5"/>
    <w:rsid w:val="007E749A"/>
    <w:rsid w:val="007F1A4C"/>
    <w:rsid w:val="007F1F71"/>
    <w:rsid w:val="007F2D45"/>
    <w:rsid w:val="007F39C3"/>
    <w:rsid w:val="007F6419"/>
    <w:rsid w:val="007F7B15"/>
    <w:rsid w:val="008016CD"/>
    <w:rsid w:val="008022C3"/>
    <w:rsid w:val="00802F40"/>
    <w:rsid w:val="008041E6"/>
    <w:rsid w:val="0080435B"/>
    <w:rsid w:val="008065D2"/>
    <w:rsid w:val="00814F12"/>
    <w:rsid w:val="0081594F"/>
    <w:rsid w:val="00816278"/>
    <w:rsid w:val="00820E1C"/>
    <w:rsid w:val="0082194C"/>
    <w:rsid w:val="008222FF"/>
    <w:rsid w:val="00822C49"/>
    <w:rsid w:val="008241FF"/>
    <w:rsid w:val="0082454E"/>
    <w:rsid w:val="00826CA6"/>
    <w:rsid w:val="00830C51"/>
    <w:rsid w:val="00835AF2"/>
    <w:rsid w:val="00835F88"/>
    <w:rsid w:val="00837C86"/>
    <w:rsid w:val="008411E9"/>
    <w:rsid w:val="0084200F"/>
    <w:rsid w:val="008424A4"/>
    <w:rsid w:val="0084318E"/>
    <w:rsid w:val="00843B2C"/>
    <w:rsid w:val="00843B55"/>
    <w:rsid w:val="00843D00"/>
    <w:rsid w:val="008462A7"/>
    <w:rsid w:val="00847D6A"/>
    <w:rsid w:val="00854026"/>
    <w:rsid w:val="0085407F"/>
    <w:rsid w:val="0085478C"/>
    <w:rsid w:val="008552D7"/>
    <w:rsid w:val="008555FE"/>
    <w:rsid w:val="0085719E"/>
    <w:rsid w:val="00857677"/>
    <w:rsid w:val="008612E2"/>
    <w:rsid w:val="00861D95"/>
    <w:rsid w:val="00862803"/>
    <w:rsid w:val="00864228"/>
    <w:rsid w:val="00865900"/>
    <w:rsid w:val="008679C3"/>
    <w:rsid w:val="008748A9"/>
    <w:rsid w:val="008757AF"/>
    <w:rsid w:val="00880AC4"/>
    <w:rsid w:val="00880EB7"/>
    <w:rsid w:val="008842C0"/>
    <w:rsid w:val="008851E4"/>
    <w:rsid w:val="00887183"/>
    <w:rsid w:val="008919EB"/>
    <w:rsid w:val="00894209"/>
    <w:rsid w:val="0089523A"/>
    <w:rsid w:val="00897C5E"/>
    <w:rsid w:val="008A0CDF"/>
    <w:rsid w:val="008A12DC"/>
    <w:rsid w:val="008A4900"/>
    <w:rsid w:val="008A512D"/>
    <w:rsid w:val="008A6C9B"/>
    <w:rsid w:val="008B0CC7"/>
    <w:rsid w:val="008B227E"/>
    <w:rsid w:val="008B4CB1"/>
    <w:rsid w:val="008B4E81"/>
    <w:rsid w:val="008B5E21"/>
    <w:rsid w:val="008B5F95"/>
    <w:rsid w:val="008B6665"/>
    <w:rsid w:val="008C165E"/>
    <w:rsid w:val="008C2E70"/>
    <w:rsid w:val="008C3659"/>
    <w:rsid w:val="008C436B"/>
    <w:rsid w:val="008C798F"/>
    <w:rsid w:val="008D0281"/>
    <w:rsid w:val="008D5888"/>
    <w:rsid w:val="008D5C94"/>
    <w:rsid w:val="008D7E1C"/>
    <w:rsid w:val="008E124B"/>
    <w:rsid w:val="008E1A6E"/>
    <w:rsid w:val="008E1FCB"/>
    <w:rsid w:val="008E47A8"/>
    <w:rsid w:val="008E4C84"/>
    <w:rsid w:val="008E596D"/>
    <w:rsid w:val="008F2CC6"/>
    <w:rsid w:val="008F2EEE"/>
    <w:rsid w:val="008F5EE7"/>
    <w:rsid w:val="008F60C4"/>
    <w:rsid w:val="008F68C5"/>
    <w:rsid w:val="008F6D45"/>
    <w:rsid w:val="00902105"/>
    <w:rsid w:val="009029BA"/>
    <w:rsid w:val="00903150"/>
    <w:rsid w:val="00904447"/>
    <w:rsid w:val="00912AB4"/>
    <w:rsid w:val="0091333B"/>
    <w:rsid w:val="00915F84"/>
    <w:rsid w:val="00920F1E"/>
    <w:rsid w:val="00922413"/>
    <w:rsid w:val="00923197"/>
    <w:rsid w:val="00925351"/>
    <w:rsid w:val="009268C6"/>
    <w:rsid w:val="009278A4"/>
    <w:rsid w:val="00927D35"/>
    <w:rsid w:val="00930EF7"/>
    <w:rsid w:val="00931301"/>
    <w:rsid w:val="00932CFF"/>
    <w:rsid w:val="0093426C"/>
    <w:rsid w:val="00934836"/>
    <w:rsid w:val="009377A9"/>
    <w:rsid w:val="009378B0"/>
    <w:rsid w:val="00937A10"/>
    <w:rsid w:val="00937AF5"/>
    <w:rsid w:val="0094183F"/>
    <w:rsid w:val="009420B8"/>
    <w:rsid w:val="009425E5"/>
    <w:rsid w:val="00943AE2"/>
    <w:rsid w:val="00944C9F"/>
    <w:rsid w:val="009470A3"/>
    <w:rsid w:val="00950A43"/>
    <w:rsid w:val="00953A2D"/>
    <w:rsid w:val="00953E77"/>
    <w:rsid w:val="00955830"/>
    <w:rsid w:val="00956755"/>
    <w:rsid w:val="00961E8A"/>
    <w:rsid w:val="009622B7"/>
    <w:rsid w:val="00965E0C"/>
    <w:rsid w:val="00967311"/>
    <w:rsid w:val="00972A02"/>
    <w:rsid w:val="00975903"/>
    <w:rsid w:val="009834C0"/>
    <w:rsid w:val="0098472F"/>
    <w:rsid w:val="00985350"/>
    <w:rsid w:val="00986AAC"/>
    <w:rsid w:val="009902F2"/>
    <w:rsid w:val="0099079C"/>
    <w:rsid w:val="0099161E"/>
    <w:rsid w:val="009944A7"/>
    <w:rsid w:val="00997D1E"/>
    <w:rsid w:val="009A009D"/>
    <w:rsid w:val="009A1BD1"/>
    <w:rsid w:val="009A1DA2"/>
    <w:rsid w:val="009A1F40"/>
    <w:rsid w:val="009A3704"/>
    <w:rsid w:val="009A4739"/>
    <w:rsid w:val="009A674F"/>
    <w:rsid w:val="009A6799"/>
    <w:rsid w:val="009B199C"/>
    <w:rsid w:val="009B28A9"/>
    <w:rsid w:val="009B4213"/>
    <w:rsid w:val="009B4D61"/>
    <w:rsid w:val="009B5429"/>
    <w:rsid w:val="009B61F1"/>
    <w:rsid w:val="009B62E0"/>
    <w:rsid w:val="009C240A"/>
    <w:rsid w:val="009C2A64"/>
    <w:rsid w:val="009C2F43"/>
    <w:rsid w:val="009C2F6A"/>
    <w:rsid w:val="009C3D88"/>
    <w:rsid w:val="009C4ECA"/>
    <w:rsid w:val="009C5E77"/>
    <w:rsid w:val="009D3A01"/>
    <w:rsid w:val="009D660A"/>
    <w:rsid w:val="009D72E0"/>
    <w:rsid w:val="009D7D9E"/>
    <w:rsid w:val="009E128F"/>
    <w:rsid w:val="009E3858"/>
    <w:rsid w:val="009E55BD"/>
    <w:rsid w:val="009E70DD"/>
    <w:rsid w:val="009E762D"/>
    <w:rsid w:val="009F26E9"/>
    <w:rsid w:val="009F2ED9"/>
    <w:rsid w:val="009F3231"/>
    <w:rsid w:val="009F48EC"/>
    <w:rsid w:val="009F4F64"/>
    <w:rsid w:val="009F589B"/>
    <w:rsid w:val="009F5C58"/>
    <w:rsid w:val="00A023A0"/>
    <w:rsid w:val="00A0310D"/>
    <w:rsid w:val="00A0321F"/>
    <w:rsid w:val="00A03AE3"/>
    <w:rsid w:val="00A053CF"/>
    <w:rsid w:val="00A05CC8"/>
    <w:rsid w:val="00A07B6F"/>
    <w:rsid w:val="00A12A65"/>
    <w:rsid w:val="00A12DA5"/>
    <w:rsid w:val="00A13839"/>
    <w:rsid w:val="00A14828"/>
    <w:rsid w:val="00A14955"/>
    <w:rsid w:val="00A1562B"/>
    <w:rsid w:val="00A16F7C"/>
    <w:rsid w:val="00A170F4"/>
    <w:rsid w:val="00A21CFD"/>
    <w:rsid w:val="00A23D10"/>
    <w:rsid w:val="00A25050"/>
    <w:rsid w:val="00A2569E"/>
    <w:rsid w:val="00A333E8"/>
    <w:rsid w:val="00A336DF"/>
    <w:rsid w:val="00A337F0"/>
    <w:rsid w:val="00A35B33"/>
    <w:rsid w:val="00A36901"/>
    <w:rsid w:val="00A37BCA"/>
    <w:rsid w:val="00A40175"/>
    <w:rsid w:val="00A4263C"/>
    <w:rsid w:val="00A44EEF"/>
    <w:rsid w:val="00A45E4D"/>
    <w:rsid w:val="00A46BA8"/>
    <w:rsid w:val="00A47634"/>
    <w:rsid w:val="00A551A0"/>
    <w:rsid w:val="00A576D3"/>
    <w:rsid w:val="00A57870"/>
    <w:rsid w:val="00A612A8"/>
    <w:rsid w:val="00A612FE"/>
    <w:rsid w:val="00A62503"/>
    <w:rsid w:val="00A62771"/>
    <w:rsid w:val="00A629EC"/>
    <w:rsid w:val="00A6340E"/>
    <w:rsid w:val="00A63ED1"/>
    <w:rsid w:val="00A64CC8"/>
    <w:rsid w:val="00A64DD5"/>
    <w:rsid w:val="00A677E0"/>
    <w:rsid w:val="00A70FA3"/>
    <w:rsid w:val="00A72E1E"/>
    <w:rsid w:val="00A73D03"/>
    <w:rsid w:val="00A74690"/>
    <w:rsid w:val="00A7722D"/>
    <w:rsid w:val="00A77B75"/>
    <w:rsid w:val="00A82D32"/>
    <w:rsid w:val="00A84A7E"/>
    <w:rsid w:val="00A84EAB"/>
    <w:rsid w:val="00A920DE"/>
    <w:rsid w:val="00A944CE"/>
    <w:rsid w:val="00A94FFE"/>
    <w:rsid w:val="00A9549E"/>
    <w:rsid w:val="00A9643F"/>
    <w:rsid w:val="00AA26B8"/>
    <w:rsid w:val="00AA51C4"/>
    <w:rsid w:val="00AA62E7"/>
    <w:rsid w:val="00AA67E6"/>
    <w:rsid w:val="00AB2132"/>
    <w:rsid w:val="00AB4C4C"/>
    <w:rsid w:val="00AB6FE0"/>
    <w:rsid w:val="00AC07CA"/>
    <w:rsid w:val="00AC19B0"/>
    <w:rsid w:val="00AC21AD"/>
    <w:rsid w:val="00AC2B2E"/>
    <w:rsid w:val="00AC3061"/>
    <w:rsid w:val="00AC49BB"/>
    <w:rsid w:val="00AC4D3A"/>
    <w:rsid w:val="00AC70F4"/>
    <w:rsid w:val="00AC784A"/>
    <w:rsid w:val="00AD0BCF"/>
    <w:rsid w:val="00AD10B3"/>
    <w:rsid w:val="00AD154C"/>
    <w:rsid w:val="00AD16A0"/>
    <w:rsid w:val="00AD5BE7"/>
    <w:rsid w:val="00AD77E0"/>
    <w:rsid w:val="00AD7CEC"/>
    <w:rsid w:val="00AD7E4E"/>
    <w:rsid w:val="00AE1650"/>
    <w:rsid w:val="00AE1897"/>
    <w:rsid w:val="00AE1D7C"/>
    <w:rsid w:val="00AE2161"/>
    <w:rsid w:val="00AE2404"/>
    <w:rsid w:val="00AE3B8B"/>
    <w:rsid w:val="00AE4478"/>
    <w:rsid w:val="00AE63A1"/>
    <w:rsid w:val="00AE6D71"/>
    <w:rsid w:val="00AE7553"/>
    <w:rsid w:val="00AF1EC1"/>
    <w:rsid w:val="00AF4D58"/>
    <w:rsid w:val="00AF6666"/>
    <w:rsid w:val="00AF7284"/>
    <w:rsid w:val="00B00C32"/>
    <w:rsid w:val="00B03142"/>
    <w:rsid w:val="00B053BB"/>
    <w:rsid w:val="00B0553F"/>
    <w:rsid w:val="00B05EF4"/>
    <w:rsid w:val="00B074AF"/>
    <w:rsid w:val="00B07D8A"/>
    <w:rsid w:val="00B101EF"/>
    <w:rsid w:val="00B1246F"/>
    <w:rsid w:val="00B1370B"/>
    <w:rsid w:val="00B14A8B"/>
    <w:rsid w:val="00B16F90"/>
    <w:rsid w:val="00B21CF0"/>
    <w:rsid w:val="00B23CC6"/>
    <w:rsid w:val="00B2501F"/>
    <w:rsid w:val="00B25353"/>
    <w:rsid w:val="00B26EEA"/>
    <w:rsid w:val="00B31BB5"/>
    <w:rsid w:val="00B332C4"/>
    <w:rsid w:val="00B34839"/>
    <w:rsid w:val="00B35031"/>
    <w:rsid w:val="00B35754"/>
    <w:rsid w:val="00B363CF"/>
    <w:rsid w:val="00B413E0"/>
    <w:rsid w:val="00B41AAF"/>
    <w:rsid w:val="00B43809"/>
    <w:rsid w:val="00B43BB4"/>
    <w:rsid w:val="00B43D55"/>
    <w:rsid w:val="00B4625F"/>
    <w:rsid w:val="00B46719"/>
    <w:rsid w:val="00B4688C"/>
    <w:rsid w:val="00B46F3E"/>
    <w:rsid w:val="00B47296"/>
    <w:rsid w:val="00B51639"/>
    <w:rsid w:val="00B517C6"/>
    <w:rsid w:val="00B52418"/>
    <w:rsid w:val="00B53E99"/>
    <w:rsid w:val="00B611AB"/>
    <w:rsid w:val="00B6243D"/>
    <w:rsid w:val="00B64A1C"/>
    <w:rsid w:val="00B66EFA"/>
    <w:rsid w:val="00B67B95"/>
    <w:rsid w:val="00B71A50"/>
    <w:rsid w:val="00B73314"/>
    <w:rsid w:val="00B7408E"/>
    <w:rsid w:val="00B7459A"/>
    <w:rsid w:val="00B75A81"/>
    <w:rsid w:val="00B8065D"/>
    <w:rsid w:val="00B81B44"/>
    <w:rsid w:val="00B83439"/>
    <w:rsid w:val="00B8571B"/>
    <w:rsid w:val="00B85CFC"/>
    <w:rsid w:val="00B86B52"/>
    <w:rsid w:val="00B9053B"/>
    <w:rsid w:val="00B905C5"/>
    <w:rsid w:val="00B91B56"/>
    <w:rsid w:val="00B9288D"/>
    <w:rsid w:val="00B92B94"/>
    <w:rsid w:val="00B9490D"/>
    <w:rsid w:val="00B960F6"/>
    <w:rsid w:val="00BA3995"/>
    <w:rsid w:val="00BA62BD"/>
    <w:rsid w:val="00BA79BF"/>
    <w:rsid w:val="00BB457D"/>
    <w:rsid w:val="00BB5F4A"/>
    <w:rsid w:val="00BB7188"/>
    <w:rsid w:val="00BC029D"/>
    <w:rsid w:val="00BC3422"/>
    <w:rsid w:val="00BC5ACF"/>
    <w:rsid w:val="00BC6017"/>
    <w:rsid w:val="00BD1AB8"/>
    <w:rsid w:val="00BD1F7A"/>
    <w:rsid w:val="00BD24FF"/>
    <w:rsid w:val="00BD3491"/>
    <w:rsid w:val="00BD6300"/>
    <w:rsid w:val="00BE15C9"/>
    <w:rsid w:val="00BE2037"/>
    <w:rsid w:val="00BE364E"/>
    <w:rsid w:val="00BE3AB9"/>
    <w:rsid w:val="00BE5770"/>
    <w:rsid w:val="00BF4779"/>
    <w:rsid w:val="00BF4C77"/>
    <w:rsid w:val="00BF4D5A"/>
    <w:rsid w:val="00BF57EB"/>
    <w:rsid w:val="00C015B9"/>
    <w:rsid w:val="00C01E32"/>
    <w:rsid w:val="00C022F9"/>
    <w:rsid w:val="00C024A4"/>
    <w:rsid w:val="00C032EA"/>
    <w:rsid w:val="00C05969"/>
    <w:rsid w:val="00C0665D"/>
    <w:rsid w:val="00C068D2"/>
    <w:rsid w:val="00C06EB5"/>
    <w:rsid w:val="00C1145F"/>
    <w:rsid w:val="00C1154D"/>
    <w:rsid w:val="00C11CD1"/>
    <w:rsid w:val="00C13B75"/>
    <w:rsid w:val="00C14D27"/>
    <w:rsid w:val="00C15329"/>
    <w:rsid w:val="00C1721C"/>
    <w:rsid w:val="00C20555"/>
    <w:rsid w:val="00C21EFA"/>
    <w:rsid w:val="00C220BB"/>
    <w:rsid w:val="00C25D1A"/>
    <w:rsid w:val="00C30174"/>
    <w:rsid w:val="00C31AC6"/>
    <w:rsid w:val="00C33AD3"/>
    <w:rsid w:val="00C3692D"/>
    <w:rsid w:val="00C408AF"/>
    <w:rsid w:val="00C41623"/>
    <w:rsid w:val="00C43888"/>
    <w:rsid w:val="00C43D30"/>
    <w:rsid w:val="00C477AA"/>
    <w:rsid w:val="00C50E41"/>
    <w:rsid w:val="00C5122F"/>
    <w:rsid w:val="00C528ED"/>
    <w:rsid w:val="00C53537"/>
    <w:rsid w:val="00C53CD8"/>
    <w:rsid w:val="00C53DA1"/>
    <w:rsid w:val="00C540F6"/>
    <w:rsid w:val="00C604CF"/>
    <w:rsid w:val="00C634F3"/>
    <w:rsid w:val="00C637E1"/>
    <w:rsid w:val="00C67945"/>
    <w:rsid w:val="00C705F1"/>
    <w:rsid w:val="00C708B2"/>
    <w:rsid w:val="00C70D50"/>
    <w:rsid w:val="00C72252"/>
    <w:rsid w:val="00C76CC6"/>
    <w:rsid w:val="00C77070"/>
    <w:rsid w:val="00C80230"/>
    <w:rsid w:val="00C80A0E"/>
    <w:rsid w:val="00C8169F"/>
    <w:rsid w:val="00C86596"/>
    <w:rsid w:val="00C87A88"/>
    <w:rsid w:val="00C907D7"/>
    <w:rsid w:val="00C92091"/>
    <w:rsid w:val="00C92338"/>
    <w:rsid w:val="00C94CC4"/>
    <w:rsid w:val="00C96B90"/>
    <w:rsid w:val="00C97607"/>
    <w:rsid w:val="00CA2206"/>
    <w:rsid w:val="00CA2CBB"/>
    <w:rsid w:val="00CA2EC0"/>
    <w:rsid w:val="00CA2EE6"/>
    <w:rsid w:val="00CA3B0B"/>
    <w:rsid w:val="00CA71C6"/>
    <w:rsid w:val="00CB0EB2"/>
    <w:rsid w:val="00CB2EDC"/>
    <w:rsid w:val="00CB3976"/>
    <w:rsid w:val="00CB46F4"/>
    <w:rsid w:val="00CB762E"/>
    <w:rsid w:val="00CC0F60"/>
    <w:rsid w:val="00CC37A7"/>
    <w:rsid w:val="00CC3927"/>
    <w:rsid w:val="00CC6B61"/>
    <w:rsid w:val="00CD0307"/>
    <w:rsid w:val="00CD252F"/>
    <w:rsid w:val="00CD3D1B"/>
    <w:rsid w:val="00CD7FEA"/>
    <w:rsid w:val="00CE016E"/>
    <w:rsid w:val="00CE03C1"/>
    <w:rsid w:val="00CE0FFA"/>
    <w:rsid w:val="00CE12AA"/>
    <w:rsid w:val="00CE34B6"/>
    <w:rsid w:val="00CE38A5"/>
    <w:rsid w:val="00CE48BD"/>
    <w:rsid w:val="00CE66A9"/>
    <w:rsid w:val="00CE746C"/>
    <w:rsid w:val="00CF0AF5"/>
    <w:rsid w:val="00CF0F2D"/>
    <w:rsid w:val="00CF109D"/>
    <w:rsid w:val="00CF14A1"/>
    <w:rsid w:val="00CF3492"/>
    <w:rsid w:val="00CF4ABD"/>
    <w:rsid w:val="00CF6BDD"/>
    <w:rsid w:val="00D00949"/>
    <w:rsid w:val="00D01BD2"/>
    <w:rsid w:val="00D03A1C"/>
    <w:rsid w:val="00D06691"/>
    <w:rsid w:val="00D0689B"/>
    <w:rsid w:val="00D12E74"/>
    <w:rsid w:val="00D148FF"/>
    <w:rsid w:val="00D1544F"/>
    <w:rsid w:val="00D174DC"/>
    <w:rsid w:val="00D2312F"/>
    <w:rsid w:val="00D2469B"/>
    <w:rsid w:val="00D24EF5"/>
    <w:rsid w:val="00D26716"/>
    <w:rsid w:val="00D269C1"/>
    <w:rsid w:val="00D27358"/>
    <w:rsid w:val="00D318FE"/>
    <w:rsid w:val="00D33A34"/>
    <w:rsid w:val="00D33E2E"/>
    <w:rsid w:val="00D342CC"/>
    <w:rsid w:val="00D40D74"/>
    <w:rsid w:val="00D41B2F"/>
    <w:rsid w:val="00D43656"/>
    <w:rsid w:val="00D44953"/>
    <w:rsid w:val="00D45689"/>
    <w:rsid w:val="00D4639A"/>
    <w:rsid w:val="00D50962"/>
    <w:rsid w:val="00D5415B"/>
    <w:rsid w:val="00D542F3"/>
    <w:rsid w:val="00D54513"/>
    <w:rsid w:val="00D555F5"/>
    <w:rsid w:val="00D5644B"/>
    <w:rsid w:val="00D56E25"/>
    <w:rsid w:val="00D56E7F"/>
    <w:rsid w:val="00D57E89"/>
    <w:rsid w:val="00D57FC3"/>
    <w:rsid w:val="00D60B6B"/>
    <w:rsid w:val="00D62192"/>
    <w:rsid w:val="00D636BA"/>
    <w:rsid w:val="00D662C8"/>
    <w:rsid w:val="00D67398"/>
    <w:rsid w:val="00D718D7"/>
    <w:rsid w:val="00D728EA"/>
    <w:rsid w:val="00D7485A"/>
    <w:rsid w:val="00D76128"/>
    <w:rsid w:val="00D77609"/>
    <w:rsid w:val="00D80AF5"/>
    <w:rsid w:val="00D814B7"/>
    <w:rsid w:val="00D8192F"/>
    <w:rsid w:val="00D90688"/>
    <w:rsid w:val="00D92376"/>
    <w:rsid w:val="00D92463"/>
    <w:rsid w:val="00D93C7A"/>
    <w:rsid w:val="00D9403E"/>
    <w:rsid w:val="00D948EB"/>
    <w:rsid w:val="00D95BC0"/>
    <w:rsid w:val="00DA3AAD"/>
    <w:rsid w:val="00DA412B"/>
    <w:rsid w:val="00DA45DA"/>
    <w:rsid w:val="00DA4C31"/>
    <w:rsid w:val="00DA580D"/>
    <w:rsid w:val="00DA6462"/>
    <w:rsid w:val="00DA6DBD"/>
    <w:rsid w:val="00DA71C1"/>
    <w:rsid w:val="00DA7648"/>
    <w:rsid w:val="00DA7B4A"/>
    <w:rsid w:val="00DB312B"/>
    <w:rsid w:val="00DB40BD"/>
    <w:rsid w:val="00DB7E60"/>
    <w:rsid w:val="00DC368F"/>
    <w:rsid w:val="00DC461F"/>
    <w:rsid w:val="00DC54B6"/>
    <w:rsid w:val="00DC5654"/>
    <w:rsid w:val="00DC5D21"/>
    <w:rsid w:val="00DC658F"/>
    <w:rsid w:val="00DC7E1C"/>
    <w:rsid w:val="00DD0FC4"/>
    <w:rsid w:val="00DD177A"/>
    <w:rsid w:val="00DD3B80"/>
    <w:rsid w:val="00DD7953"/>
    <w:rsid w:val="00DE236D"/>
    <w:rsid w:val="00DE31F7"/>
    <w:rsid w:val="00DE60CC"/>
    <w:rsid w:val="00DE637D"/>
    <w:rsid w:val="00DE680E"/>
    <w:rsid w:val="00DE689D"/>
    <w:rsid w:val="00DE6D57"/>
    <w:rsid w:val="00DF01A8"/>
    <w:rsid w:val="00DF266F"/>
    <w:rsid w:val="00DF2EF4"/>
    <w:rsid w:val="00DF30BE"/>
    <w:rsid w:val="00E04894"/>
    <w:rsid w:val="00E04A1A"/>
    <w:rsid w:val="00E0637B"/>
    <w:rsid w:val="00E067A2"/>
    <w:rsid w:val="00E06E95"/>
    <w:rsid w:val="00E11984"/>
    <w:rsid w:val="00E11BCC"/>
    <w:rsid w:val="00E11E7D"/>
    <w:rsid w:val="00E1366F"/>
    <w:rsid w:val="00E14792"/>
    <w:rsid w:val="00E14B2B"/>
    <w:rsid w:val="00E1784A"/>
    <w:rsid w:val="00E26274"/>
    <w:rsid w:val="00E26B32"/>
    <w:rsid w:val="00E2791B"/>
    <w:rsid w:val="00E3393E"/>
    <w:rsid w:val="00E34010"/>
    <w:rsid w:val="00E37B4E"/>
    <w:rsid w:val="00E37B75"/>
    <w:rsid w:val="00E400A9"/>
    <w:rsid w:val="00E407B6"/>
    <w:rsid w:val="00E41EF1"/>
    <w:rsid w:val="00E42942"/>
    <w:rsid w:val="00E4472D"/>
    <w:rsid w:val="00E447DD"/>
    <w:rsid w:val="00E44ABC"/>
    <w:rsid w:val="00E47F34"/>
    <w:rsid w:val="00E52376"/>
    <w:rsid w:val="00E52405"/>
    <w:rsid w:val="00E53BE9"/>
    <w:rsid w:val="00E53E22"/>
    <w:rsid w:val="00E53F8F"/>
    <w:rsid w:val="00E5435D"/>
    <w:rsid w:val="00E549DC"/>
    <w:rsid w:val="00E55564"/>
    <w:rsid w:val="00E56B4D"/>
    <w:rsid w:val="00E57A58"/>
    <w:rsid w:val="00E60162"/>
    <w:rsid w:val="00E62A55"/>
    <w:rsid w:val="00E63A1F"/>
    <w:rsid w:val="00E664EF"/>
    <w:rsid w:val="00E67D3C"/>
    <w:rsid w:val="00E70801"/>
    <w:rsid w:val="00E71059"/>
    <w:rsid w:val="00E71BDF"/>
    <w:rsid w:val="00E73619"/>
    <w:rsid w:val="00E768B7"/>
    <w:rsid w:val="00E76AE4"/>
    <w:rsid w:val="00E77BE6"/>
    <w:rsid w:val="00E8192E"/>
    <w:rsid w:val="00E82AA3"/>
    <w:rsid w:val="00E83CA7"/>
    <w:rsid w:val="00E87659"/>
    <w:rsid w:val="00E90058"/>
    <w:rsid w:val="00E90268"/>
    <w:rsid w:val="00E92192"/>
    <w:rsid w:val="00E92D03"/>
    <w:rsid w:val="00E95451"/>
    <w:rsid w:val="00E95C19"/>
    <w:rsid w:val="00E9747C"/>
    <w:rsid w:val="00E97BC8"/>
    <w:rsid w:val="00EA0742"/>
    <w:rsid w:val="00EA4A83"/>
    <w:rsid w:val="00EA54B9"/>
    <w:rsid w:val="00EA60FB"/>
    <w:rsid w:val="00EA77A9"/>
    <w:rsid w:val="00EA7AC4"/>
    <w:rsid w:val="00EB20AD"/>
    <w:rsid w:val="00EB2F5A"/>
    <w:rsid w:val="00EB45D3"/>
    <w:rsid w:val="00EB46F2"/>
    <w:rsid w:val="00EB64DA"/>
    <w:rsid w:val="00EB7C38"/>
    <w:rsid w:val="00EC08F8"/>
    <w:rsid w:val="00EC1787"/>
    <w:rsid w:val="00EC4D43"/>
    <w:rsid w:val="00EC4DC2"/>
    <w:rsid w:val="00EC64A1"/>
    <w:rsid w:val="00EC6B98"/>
    <w:rsid w:val="00ED211C"/>
    <w:rsid w:val="00ED487E"/>
    <w:rsid w:val="00ED5183"/>
    <w:rsid w:val="00ED557B"/>
    <w:rsid w:val="00ED6A00"/>
    <w:rsid w:val="00EE037D"/>
    <w:rsid w:val="00EE29F0"/>
    <w:rsid w:val="00EE5E09"/>
    <w:rsid w:val="00EE7A0D"/>
    <w:rsid w:val="00EE7D77"/>
    <w:rsid w:val="00EF0293"/>
    <w:rsid w:val="00EF0D0B"/>
    <w:rsid w:val="00EF2D69"/>
    <w:rsid w:val="00EF4E93"/>
    <w:rsid w:val="00EF65D6"/>
    <w:rsid w:val="00EF69A9"/>
    <w:rsid w:val="00EF7469"/>
    <w:rsid w:val="00F019A6"/>
    <w:rsid w:val="00F027D8"/>
    <w:rsid w:val="00F03E57"/>
    <w:rsid w:val="00F040AA"/>
    <w:rsid w:val="00F11AB9"/>
    <w:rsid w:val="00F12A8A"/>
    <w:rsid w:val="00F12E80"/>
    <w:rsid w:val="00F13E6A"/>
    <w:rsid w:val="00F17CE1"/>
    <w:rsid w:val="00F2115C"/>
    <w:rsid w:val="00F21AD1"/>
    <w:rsid w:val="00F22A92"/>
    <w:rsid w:val="00F22ABA"/>
    <w:rsid w:val="00F236E5"/>
    <w:rsid w:val="00F24D3E"/>
    <w:rsid w:val="00F24DFB"/>
    <w:rsid w:val="00F275AF"/>
    <w:rsid w:val="00F308D0"/>
    <w:rsid w:val="00F30CAE"/>
    <w:rsid w:val="00F324FC"/>
    <w:rsid w:val="00F34F8A"/>
    <w:rsid w:val="00F36B12"/>
    <w:rsid w:val="00F4464D"/>
    <w:rsid w:val="00F44A53"/>
    <w:rsid w:val="00F45941"/>
    <w:rsid w:val="00F50434"/>
    <w:rsid w:val="00F510EF"/>
    <w:rsid w:val="00F53DCA"/>
    <w:rsid w:val="00F57B83"/>
    <w:rsid w:val="00F60945"/>
    <w:rsid w:val="00F60F9F"/>
    <w:rsid w:val="00F6131D"/>
    <w:rsid w:val="00F64F08"/>
    <w:rsid w:val="00F6504B"/>
    <w:rsid w:val="00F66120"/>
    <w:rsid w:val="00F67938"/>
    <w:rsid w:val="00F70055"/>
    <w:rsid w:val="00F70D60"/>
    <w:rsid w:val="00F70F8C"/>
    <w:rsid w:val="00F734F5"/>
    <w:rsid w:val="00F735C5"/>
    <w:rsid w:val="00F73B5B"/>
    <w:rsid w:val="00F741D0"/>
    <w:rsid w:val="00F74625"/>
    <w:rsid w:val="00F7511B"/>
    <w:rsid w:val="00F75315"/>
    <w:rsid w:val="00F77678"/>
    <w:rsid w:val="00F80837"/>
    <w:rsid w:val="00F82304"/>
    <w:rsid w:val="00F845E8"/>
    <w:rsid w:val="00F8468C"/>
    <w:rsid w:val="00F846EA"/>
    <w:rsid w:val="00F85FBA"/>
    <w:rsid w:val="00F86C5D"/>
    <w:rsid w:val="00F86DBC"/>
    <w:rsid w:val="00F911FD"/>
    <w:rsid w:val="00F93740"/>
    <w:rsid w:val="00F95A2B"/>
    <w:rsid w:val="00F95CB0"/>
    <w:rsid w:val="00F966B1"/>
    <w:rsid w:val="00F97D48"/>
    <w:rsid w:val="00FA0033"/>
    <w:rsid w:val="00FA0311"/>
    <w:rsid w:val="00FA5404"/>
    <w:rsid w:val="00FB1946"/>
    <w:rsid w:val="00FB5E78"/>
    <w:rsid w:val="00FB6253"/>
    <w:rsid w:val="00FB71EF"/>
    <w:rsid w:val="00FC19CA"/>
    <w:rsid w:val="00FC3568"/>
    <w:rsid w:val="00FC3AF8"/>
    <w:rsid w:val="00FC7923"/>
    <w:rsid w:val="00FD30E9"/>
    <w:rsid w:val="00FD4D0B"/>
    <w:rsid w:val="00FD4F65"/>
    <w:rsid w:val="00FD640F"/>
    <w:rsid w:val="00FD6B4C"/>
    <w:rsid w:val="00FD6EB3"/>
    <w:rsid w:val="00FD79F1"/>
    <w:rsid w:val="00FD7AEF"/>
    <w:rsid w:val="00FD7EE7"/>
    <w:rsid w:val="00FE2597"/>
    <w:rsid w:val="00FE547C"/>
    <w:rsid w:val="00FE5561"/>
    <w:rsid w:val="00FE5710"/>
    <w:rsid w:val="00FE59AD"/>
    <w:rsid w:val="00FF1E28"/>
    <w:rsid w:val="00FF3C20"/>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F0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3" w:unhideWhenUsed="0" w:qFormat="1"/>
    <w:lsdException w:name="heading 6" w:uiPriority="3" w:unhideWhenUsed="0" w:qFormat="1"/>
    <w:lsdException w:name="heading 7" w:uiPriority="3" w:qFormat="1"/>
    <w:lsdException w:name="heading 8" w:uiPriority="3" w:qFormat="1"/>
    <w:lsdException w:name="heading 9" w:uiPriority="3" w:qFormat="1"/>
    <w:lsdException w:name="index 1" w:semiHidden="0"/>
    <w:lsdException w:name="index 2" w:semiHidden="0"/>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9" w:qFormat="1"/>
    <w:lsdException w:name="annotation text" w:uiPriority="49"/>
    <w:lsdException w:name="header" w:semiHidden="0"/>
    <w:lsdException w:name="footer" w:semiHidden="0" w:uiPriority="24"/>
    <w:lsdException w:name="index heading" w:semiHidden="0"/>
    <w:lsdException w:name="caption" w:semiHidden="0" w:uiPriority="35" w:qFormat="1"/>
    <w:lsdException w:name="envelope address" w:uiPriority="49"/>
    <w:lsdException w:name="envelope return" w:uiPriority="49"/>
    <w:lsdException w:name="annotation reference" w:uiPriority="49"/>
    <w:lsdException w:name="line number" w:uiPriority="49"/>
    <w:lsdException w:name="page number" w:semiHidden="0"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unhideWhenUsed="0" w:qFormat="1"/>
    <w:lsdException w:name="List 2" w:uiPriority="49"/>
    <w:lsdException w:name="List 3" w:uiPriority="49"/>
    <w:lsdException w:name="List 4" w:uiPriority="49" w:unhideWhenUsed="0"/>
    <w:lsdException w:name="List 5" w:uiPriority="49" w:unhideWhenUsed="0"/>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nhideWhenUsed="0" w:qFormat="1"/>
    <w:lsdException w:name="Salutation" w:uiPriority="49" w:unhideWhenUsed="0"/>
    <w:lsdException w:name="Date" w:uiPriority="49" w:unhideWhenUsed="0"/>
    <w:lsdException w:name="Body Text First Indent" w:uiPriority="49" w:unhideWhenUsed="0"/>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Hyperlink" w:semiHidden="0"/>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0B672C"/>
    <w:pPr>
      <w:spacing w:before="160" w:after="100"/>
    </w:pPr>
    <w:rPr>
      <w:spacing w:val="2"/>
    </w:rPr>
  </w:style>
  <w:style w:type="paragraph" w:styleId="Heading1">
    <w:name w:val="heading 1"/>
    <w:next w:val="Normal"/>
    <w:link w:val="Heading1Char"/>
    <w:qFormat/>
    <w:rsid w:val="000B672C"/>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0B672C"/>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0B672C"/>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0B672C"/>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Indent"/>
    <w:next w:val="Normal"/>
    <w:link w:val="Heading5Char"/>
    <w:uiPriority w:val="3"/>
    <w:qFormat/>
    <w:rsid w:val="006926C1"/>
    <w:pPr>
      <w:keepNext/>
      <w:outlineLvl w:val="4"/>
    </w:pPr>
    <w:rPr>
      <w:b/>
      <w:color w:val="0063A6" w:themeColor="accent1"/>
    </w:rPr>
  </w:style>
  <w:style w:type="paragraph" w:styleId="Heading6">
    <w:name w:val="heading 6"/>
    <w:basedOn w:val="Normal"/>
    <w:next w:val="Normal"/>
    <w:link w:val="Heading6Char"/>
    <w:uiPriority w:val="3"/>
    <w:semiHidden/>
    <w:qFormat/>
    <w:rsid w:val="005476DA"/>
    <w:pPr>
      <w:keepNext/>
      <w:keepLines/>
      <w:spacing w:before="200" w:after="0"/>
      <w:outlineLvl w:val="5"/>
    </w:pPr>
    <w:rPr>
      <w:rFonts w:asciiTheme="majorHAnsi" w:eastAsiaTheme="majorEastAsia" w:hAnsiTheme="majorHAnsi" w:cstheme="majorBidi"/>
      <w:i/>
      <w:iCs/>
      <w:color w:val="003152" w:themeColor="accent1" w:themeShade="7F"/>
    </w:rPr>
  </w:style>
  <w:style w:type="paragraph" w:styleId="Heading7">
    <w:name w:val="heading 7"/>
    <w:basedOn w:val="Heading6"/>
    <w:next w:val="Normal"/>
    <w:link w:val="Heading7Char"/>
    <w:uiPriority w:val="3"/>
    <w:semiHidden/>
    <w:qFormat/>
    <w:rsid w:val="005476DA"/>
    <w:pPr>
      <w:widowControl w:val="0"/>
      <w:spacing w:before="160" w:after="120" w:line="228" w:lineRule="auto"/>
      <w:ind w:left="794"/>
      <w:outlineLvl w:val="6"/>
    </w:pPr>
    <w:rPr>
      <w:rFonts w:ascii="Calibri" w:eastAsia="Times New Roman" w:hAnsi="Calibri" w:cs="Calibri"/>
      <w:b/>
      <w:bCs/>
      <w:i w:val="0"/>
      <w:color w:val="404040"/>
      <w:spacing w:val="0"/>
      <w:sz w:val="22"/>
      <w:szCs w:val="22"/>
      <w:lang w:eastAsia="en-US"/>
    </w:rPr>
  </w:style>
  <w:style w:type="paragraph" w:styleId="Heading8">
    <w:name w:val="heading 8"/>
    <w:basedOn w:val="Heading7"/>
    <w:next w:val="Normal"/>
    <w:link w:val="Heading8Char"/>
    <w:uiPriority w:val="3"/>
    <w:semiHidden/>
    <w:qFormat/>
    <w:rsid w:val="005476DA"/>
    <w:pPr>
      <w:outlineLvl w:val="7"/>
    </w:pPr>
    <w:rPr>
      <w:b w:val="0"/>
    </w:rPr>
  </w:style>
  <w:style w:type="paragraph" w:styleId="Heading9">
    <w:name w:val="heading 9"/>
    <w:basedOn w:val="Heading8"/>
    <w:next w:val="Normal"/>
    <w:link w:val="Heading9Char"/>
    <w:uiPriority w:val="3"/>
    <w:semiHidden/>
    <w:qFormat/>
    <w:rsid w:val="005476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B67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B672C"/>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0B672C"/>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0B672C"/>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0B672C"/>
    <w:pPr>
      <w:tabs>
        <w:tab w:val="right" w:leader="dot" w:pos="9000"/>
      </w:tabs>
      <w:ind w:right="432"/>
    </w:pPr>
    <w:rPr>
      <w:sz w:val="24"/>
      <w:szCs w:val="24"/>
    </w:rPr>
  </w:style>
  <w:style w:type="paragraph" w:styleId="TOC2">
    <w:name w:val="toc 2"/>
    <w:next w:val="Normal"/>
    <w:uiPriority w:val="39"/>
    <w:rsid w:val="000B672C"/>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0B672C"/>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0B672C"/>
    <w:pPr>
      <w:spacing w:after="60" w:line="240" w:lineRule="auto"/>
    </w:pPr>
    <w:rPr>
      <w:sz w:val="16"/>
    </w:rPr>
  </w:style>
  <w:style w:type="paragraph" w:styleId="Index2">
    <w:name w:val="index 2"/>
    <w:basedOn w:val="Normal"/>
    <w:next w:val="Normal"/>
    <w:uiPriority w:val="99"/>
    <w:semiHidden/>
    <w:rsid w:val="000B672C"/>
    <w:pPr>
      <w:spacing w:after="0" w:line="240" w:lineRule="auto"/>
      <w:ind w:left="216"/>
    </w:pPr>
    <w:rPr>
      <w:sz w:val="16"/>
      <w:szCs w:val="16"/>
    </w:rPr>
  </w:style>
  <w:style w:type="character" w:styleId="Hyperlink">
    <w:name w:val="Hyperlink"/>
    <w:basedOn w:val="DefaultParagraphFont"/>
    <w:uiPriority w:val="99"/>
    <w:rsid w:val="000B672C"/>
    <w:rPr>
      <w:color w:val="53565A" w:themeColor="hyperlink"/>
      <w:u w:val="none"/>
    </w:rPr>
  </w:style>
  <w:style w:type="character" w:customStyle="1" w:styleId="Heading1Char">
    <w:name w:val="Heading 1 Char"/>
    <w:basedOn w:val="DefaultParagraphFont"/>
    <w:link w:val="Heading1"/>
    <w:rsid w:val="000B672C"/>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0B672C"/>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0B672C"/>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0B672C"/>
    <w:pPr>
      <w:numPr>
        <w:ilvl w:val="1"/>
      </w:numPr>
    </w:pPr>
  </w:style>
  <w:style w:type="paragraph" w:customStyle="1" w:styleId="Bulletindent">
    <w:name w:val="Bullet indent"/>
    <w:basedOn w:val="Bullet2"/>
    <w:uiPriority w:val="9"/>
    <w:qFormat/>
    <w:rsid w:val="000B672C"/>
    <w:pPr>
      <w:numPr>
        <w:ilvl w:val="2"/>
      </w:numPr>
    </w:pPr>
  </w:style>
  <w:style w:type="paragraph" w:customStyle="1" w:styleId="Heading1numbered">
    <w:name w:val="Heading 1 numbered"/>
    <w:basedOn w:val="Heading1"/>
    <w:next w:val="NormalIndent"/>
    <w:uiPriority w:val="8"/>
    <w:qFormat/>
    <w:rsid w:val="000B672C"/>
    <w:pPr>
      <w:numPr>
        <w:ilvl w:val="2"/>
        <w:numId w:val="22"/>
      </w:numPr>
      <w:ind w:left="794" w:hanging="794"/>
    </w:pPr>
  </w:style>
  <w:style w:type="paragraph" w:customStyle="1" w:styleId="Heading2numbered">
    <w:name w:val="Heading 2 numbered"/>
    <w:basedOn w:val="Heading2"/>
    <w:next w:val="NormalIndent"/>
    <w:uiPriority w:val="8"/>
    <w:qFormat/>
    <w:rsid w:val="000B672C"/>
    <w:pPr>
      <w:numPr>
        <w:ilvl w:val="3"/>
        <w:numId w:val="22"/>
      </w:numPr>
    </w:pPr>
  </w:style>
  <w:style w:type="paragraph" w:customStyle="1" w:styleId="Heading3numbered">
    <w:name w:val="Heading 3 numbered"/>
    <w:basedOn w:val="Heading3"/>
    <w:next w:val="NormalIndent"/>
    <w:uiPriority w:val="8"/>
    <w:qFormat/>
    <w:rsid w:val="000B672C"/>
    <w:pPr>
      <w:numPr>
        <w:ilvl w:val="4"/>
        <w:numId w:val="22"/>
      </w:numPr>
    </w:pPr>
  </w:style>
  <w:style w:type="character" w:customStyle="1" w:styleId="Heading3Char">
    <w:name w:val="Heading 3 Char"/>
    <w:basedOn w:val="DefaultParagraphFont"/>
    <w:link w:val="Heading3"/>
    <w:rsid w:val="000B672C"/>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0B672C"/>
    <w:pPr>
      <w:numPr>
        <w:ilvl w:val="5"/>
        <w:numId w:val="22"/>
      </w:numPr>
    </w:pPr>
  </w:style>
  <w:style w:type="character" w:customStyle="1" w:styleId="Heading4Char">
    <w:name w:val="Heading 4 Char"/>
    <w:basedOn w:val="DefaultParagraphFont"/>
    <w:link w:val="Heading4"/>
    <w:rsid w:val="000B672C"/>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0B672C"/>
    <w:pPr>
      <w:spacing w:line="252" w:lineRule="auto"/>
      <w:ind w:left="792"/>
    </w:pPr>
  </w:style>
  <w:style w:type="paragraph" w:customStyle="1" w:styleId="NoteNormal">
    <w:name w:val="Note Normal"/>
    <w:basedOn w:val="Normal"/>
    <w:rsid w:val="000B672C"/>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qFormat/>
    <w:rsid w:val="000B672C"/>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0B672C"/>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0B672C"/>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0B672C"/>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B672C"/>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B672C"/>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0B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72C"/>
    <w:rPr>
      <w:rFonts w:ascii="Tahoma" w:hAnsi="Tahoma" w:cs="Tahoma"/>
      <w:spacing w:val="2"/>
      <w:sz w:val="16"/>
      <w:szCs w:val="16"/>
    </w:rPr>
  </w:style>
  <w:style w:type="paragraph" w:customStyle="1" w:styleId="Bulletindent2">
    <w:name w:val="Bullet indent 2"/>
    <w:basedOn w:val="Normal"/>
    <w:uiPriority w:val="9"/>
    <w:qFormat/>
    <w:rsid w:val="000B672C"/>
    <w:pPr>
      <w:numPr>
        <w:ilvl w:val="3"/>
        <w:numId w:val="1"/>
      </w:numPr>
      <w:spacing w:before="100"/>
      <w:contextualSpacing/>
    </w:pPr>
  </w:style>
  <w:style w:type="paragraph" w:styleId="IndexHeading">
    <w:name w:val="index heading"/>
    <w:basedOn w:val="Normal"/>
    <w:next w:val="Index1"/>
    <w:uiPriority w:val="99"/>
    <w:semiHidden/>
    <w:rsid w:val="000B672C"/>
    <w:rPr>
      <w:rFonts w:asciiTheme="majorHAnsi" w:eastAsiaTheme="majorEastAsia" w:hAnsiTheme="majorHAnsi" w:cstheme="majorBidi"/>
      <w:b/>
      <w:bCs/>
    </w:rPr>
  </w:style>
  <w:style w:type="paragraph" w:styleId="Header">
    <w:name w:val="header"/>
    <w:basedOn w:val="Normal"/>
    <w:link w:val="HeaderChar"/>
    <w:uiPriority w:val="99"/>
    <w:rsid w:val="000B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72C"/>
    <w:rPr>
      <w:spacing w:val="2"/>
    </w:rPr>
  </w:style>
  <w:style w:type="paragraph" w:styleId="Footer">
    <w:name w:val="footer"/>
    <w:basedOn w:val="Normal"/>
    <w:link w:val="FooterChar"/>
    <w:uiPriority w:val="24"/>
    <w:rsid w:val="000B672C"/>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0B672C"/>
    <w:rPr>
      <w:noProof/>
      <w:spacing w:val="2"/>
      <w:sz w:val="18"/>
      <w:szCs w:val="18"/>
    </w:rPr>
  </w:style>
  <w:style w:type="character" w:styleId="PageNumber">
    <w:name w:val="page number"/>
    <w:uiPriority w:val="49"/>
    <w:semiHidden/>
    <w:rsid w:val="000B672C"/>
    <w:rPr>
      <w:rFonts w:asciiTheme="minorHAnsi" w:hAnsiTheme="minorHAnsi"/>
      <w:b w:val="0"/>
      <w:color w:val="000000" w:themeColor="text1"/>
    </w:rPr>
  </w:style>
  <w:style w:type="paragraph" w:styleId="TOCHeading">
    <w:name w:val="TOC Heading"/>
    <w:basedOn w:val="Heading1"/>
    <w:next w:val="Normal"/>
    <w:uiPriority w:val="39"/>
    <w:rsid w:val="000B672C"/>
    <w:pPr>
      <w:spacing w:before="480" w:after="720"/>
      <w:outlineLvl w:val="9"/>
    </w:pPr>
    <w:rPr>
      <w:spacing w:val="2"/>
    </w:rPr>
  </w:style>
  <w:style w:type="paragraph" w:customStyle="1" w:styleId="NormalTight">
    <w:name w:val="Normal Tight"/>
    <w:uiPriority w:val="99"/>
    <w:semiHidden/>
    <w:rsid w:val="000B672C"/>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0B672C"/>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B672C"/>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0B672C"/>
    <w:pPr>
      <w:spacing w:before="5800"/>
      <w:ind w:right="1382"/>
    </w:pPr>
  </w:style>
  <w:style w:type="paragraph" w:styleId="TOC4">
    <w:name w:val="toc 4"/>
    <w:basedOn w:val="TOC1"/>
    <w:next w:val="Normal"/>
    <w:uiPriority w:val="39"/>
    <w:rsid w:val="000B672C"/>
    <w:pPr>
      <w:ind w:left="450" w:hanging="450"/>
    </w:pPr>
    <w:rPr>
      <w:noProof/>
      <w:lang w:eastAsia="en-US"/>
    </w:rPr>
  </w:style>
  <w:style w:type="paragraph" w:styleId="TOC5">
    <w:name w:val="toc 5"/>
    <w:basedOn w:val="TOC2"/>
    <w:next w:val="Normal"/>
    <w:uiPriority w:val="39"/>
    <w:rsid w:val="000B672C"/>
    <w:pPr>
      <w:ind w:left="1080" w:hanging="634"/>
    </w:pPr>
    <w:rPr>
      <w:lang w:eastAsia="en-US"/>
    </w:rPr>
  </w:style>
  <w:style w:type="paragraph" w:styleId="TOC6">
    <w:name w:val="toc 6"/>
    <w:basedOn w:val="TOC3"/>
    <w:next w:val="Normal"/>
    <w:uiPriority w:val="39"/>
    <w:rsid w:val="000B672C"/>
    <w:pPr>
      <w:ind w:left="1800" w:hanging="720"/>
    </w:pPr>
    <w:rPr>
      <w:lang w:eastAsia="en-US"/>
    </w:rPr>
  </w:style>
  <w:style w:type="table" w:customStyle="1" w:styleId="DTFtexttable">
    <w:name w:val="DTF text table"/>
    <w:basedOn w:val="TableGrid"/>
    <w:uiPriority w:val="99"/>
    <w:rsid w:val="000B672C"/>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Mandatory">
    <w:name w:val="Mandatory"/>
    <w:basedOn w:val="TableGrid"/>
    <w:uiPriority w:val="99"/>
    <w:rsid w:val="00B46F3E"/>
    <w:pPr>
      <w:spacing w:before="30" w:after="30" w:line="264" w:lineRule="auto"/>
      <w:jc w:val="left"/>
    </w:pPr>
    <w:tblPr>
      <w:tblStyleRowBandSize w:val="1"/>
      <w:tblInd w:w="864" w:type="dxa"/>
      <w:tblBorders>
        <w:top w:val="single" w:sz="6" w:space="0" w:color="0063A6" w:themeColor="accent1"/>
        <w:left w:val="single" w:sz="6" w:space="0" w:color="0063A6" w:themeColor="accent1"/>
        <w:bottom w:val="single" w:sz="6" w:space="0" w:color="0063A6" w:themeColor="accent1"/>
        <w:right w:val="single" w:sz="6" w:space="0" w:color="0063A6" w:themeColor="accent1"/>
      </w:tblBorders>
    </w:tblPr>
    <w:tblStylePr w:type="firstRow">
      <w:pPr>
        <w:keepNext/>
        <w:keepLines/>
        <w:widowControl/>
        <w:wordWrap/>
        <w:spacing w:beforeLines="0" w:before="120" w:beforeAutospacing="0" w:afterLines="0" w:after="30" w:afterAutospacing="0"/>
        <w:jc w:val="center"/>
      </w:pPr>
      <w:rPr>
        <w:b/>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0B672C"/>
    <w:pPr>
      <w:spacing w:before="60" w:after="60" w:line="264" w:lineRule="auto"/>
    </w:pPr>
    <w:rPr>
      <w:sz w:val="17"/>
    </w:rPr>
  </w:style>
  <w:style w:type="paragraph" w:customStyle="1" w:styleId="Tabletextright">
    <w:name w:val="Table text right"/>
    <w:basedOn w:val="Tabletext"/>
    <w:uiPriority w:val="5"/>
    <w:qFormat/>
    <w:rsid w:val="000B672C"/>
    <w:pPr>
      <w:jc w:val="right"/>
    </w:pPr>
  </w:style>
  <w:style w:type="paragraph" w:customStyle="1" w:styleId="Listnumindent2">
    <w:name w:val="List num indent 2"/>
    <w:basedOn w:val="Normal"/>
    <w:uiPriority w:val="9"/>
    <w:qFormat/>
    <w:rsid w:val="000B672C"/>
    <w:pPr>
      <w:numPr>
        <w:ilvl w:val="7"/>
        <w:numId w:val="22"/>
      </w:numPr>
      <w:spacing w:before="100"/>
      <w:contextualSpacing/>
    </w:pPr>
  </w:style>
  <w:style w:type="paragraph" w:customStyle="1" w:styleId="Listnumindent">
    <w:name w:val="List num indent"/>
    <w:basedOn w:val="Normal"/>
    <w:uiPriority w:val="9"/>
    <w:qFormat/>
    <w:rsid w:val="000B672C"/>
    <w:pPr>
      <w:numPr>
        <w:ilvl w:val="6"/>
        <w:numId w:val="22"/>
      </w:numPr>
      <w:spacing w:before="100"/>
    </w:pPr>
  </w:style>
  <w:style w:type="paragraph" w:customStyle="1" w:styleId="Listnum">
    <w:name w:val="List num"/>
    <w:basedOn w:val="Normal"/>
    <w:uiPriority w:val="2"/>
    <w:qFormat/>
    <w:rsid w:val="000B672C"/>
    <w:pPr>
      <w:numPr>
        <w:numId w:val="22"/>
      </w:numPr>
    </w:pPr>
  </w:style>
  <w:style w:type="paragraph" w:customStyle="1" w:styleId="Listnum2">
    <w:name w:val="List num 2"/>
    <w:basedOn w:val="Normal"/>
    <w:uiPriority w:val="2"/>
    <w:qFormat/>
    <w:rsid w:val="000B672C"/>
    <w:pPr>
      <w:numPr>
        <w:ilvl w:val="1"/>
        <w:numId w:val="22"/>
      </w:numPr>
    </w:pPr>
  </w:style>
  <w:style w:type="paragraph" w:customStyle="1" w:styleId="Tabletextcentred">
    <w:name w:val="Table text centred"/>
    <w:basedOn w:val="Tabletext"/>
    <w:uiPriority w:val="5"/>
    <w:qFormat/>
    <w:rsid w:val="000B672C"/>
    <w:pPr>
      <w:jc w:val="center"/>
    </w:pPr>
  </w:style>
  <w:style w:type="paragraph" w:customStyle="1" w:styleId="Tableheader">
    <w:name w:val="Table header"/>
    <w:basedOn w:val="Tabletext"/>
    <w:uiPriority w:val="5"/>
    <w:qFormat/>
    <w:rsid w:val="000B672C"/>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0B672C"/>
    <w:pPr>
      <w:numPr>
        <w:numId w:val="2"/>
      </w:numPr>
    </w:pPr>
  </w:style>
  <w:style w:type="paragraph" w:customStyle="1" w:styleId="Tabledash">
    <w:name w:val="Table dash"/>
    <w:basedOn w:val="Tablebullet"/>
    <w:uiPriority w:val="6"/>
    <w:rsid w:val="000B672C"/>
    <w:pPr>
      <w:numPr>
        <w:ilvl w:val="1"/>
      </w:numPr>
    </w:pPr>
  </w:style>
  <w:style w:type="paragraph" w:customStyle="1" w:styleId="Tabletextindent">
    <w:name w:val="Table text indent"/>
    <w:basedOn w:val="Tabletext"/>
    <w:uiPriority w:val="5"/>
    <w:qFormat/>
    <w:rsid w:val="000B672C"/>
    <w:pPr>
      <w:ind w:left="288"/>
    </w:pPr>
  </w:style>
  <w:style w:type="paragraph" w:customStyle="1" w:styleId="Numparaindent">
    <w:name w:val="Num para indent"/>
    <w:basedOn w:val="Numpara"/>
    <w:uiPriority w:val="9"/>
    <w:qFormat/>
    <w:rsid w:val="000B672C"/>
    <w:pPr>
      <w:numPr>
        <w:ilvl w:val="8"/>
        <w:numId w:val="22"/>
      </w:numPr>
      <w:tabs>
        <w:tab w:val="clear" w:pos="540"/>
      </w:tabs>
    </w:pPr>
  </w:style>
  <w:style w:type="paragraph" w:customStyle="1" w:styleId="Numpara">
    <w:name w:val="Num para"/>
    <w:basedOn w:val="ListParagraph"/>
    <w:uiPriority w:val="2"/>
    <w:qFormat/>
    <w:rsid w:val="000B672C"/>
    <w:pPr>
      <w:numPr>
        <w:numId w:val="3"/>
      </w:numPr>
      <w:tabs>
        <w:tab w:val="left" w:pos="540"/>
      </w:tabs>
      <w:ind w:left="504" w:hanging="504"/>
    </w:pPr>
  </w:style>
  <w:style w:type="character" w:styleId="FootnoteReference">
    <w:name w:val="footnote reference"/>
    <w:basedOn w:val="DefaultParagraphFont"/>
    <w:uiPriority w:val="99"/>
    <w:rsid w:val="000B672C"/>
    <w:rPr>
      <w:vertAlign w:val="superscript"/>
    </w:rPr>
  </w:style>
  <w:style w:type="paragraph" w:styleId="FootnoteText">
    <w:name w:val="footnote text"/>
    <w:basedOn w:val="Normal"/>
    <w:link w:val="FootnoteTextChar"/>
    <w:uiPriority w:val="99"/>
    <w:semiHidden/>
    <w:rsid w:val="000B672C"/>
    <w:pPr>
      <w:spacing w:before="0" w:after="0" w:line="240" w:lineRule="auto"/>
    </w:pPr>
    <w:rPr>
      <w:sz w:val="17"/>
    </w:rPr>
  </w:style>
  <w:style w:type="character" w:customStyle="1" w:styleId="FootnoteTextChar">
    <w:name w:val="Footnote Text Char"/>
    <w:basedOn w:val="DefaultParagraphFont"/>
    <w:link w:val="FootnoteText"/>
    <w:uiPriority w:val="99"/>
    <w:semiHidden/>
    <w:rsid w:val="000B672C"/>
    <w:rPr>
      <w:spacing w:val="2"/>
      <w:sz w:val="17"/>
    </w:rPr>
  </w:style>
  <w:style w:type="paragraph" w:styleId="Caption">
    <w:name w:val="caption"/>
    <w:basedOn w:val="Normal"/>
    <w:next w:val="Normal"/>
    <w:uiPriority w:val="35"/>
    <w:rsid w:val="000B672C"/>
    <w:pPr>
      <w:spacing w:before="0" w:after="200" w:line="240" w:lineRule="auto"/>
    </w:pPr>
    <w:rPr>
      <w:b/>
      <w:bCs/>
      <w:color w:val="383834" w:themeColor="background2" w:themeShade="40"/>
      <w:sz w:val="18"/>
      <w:szCs w:val="18"/>
    </w:rPr>
  </w:style>
  <w:style w:type="character" w:styleId="CommentReference">
    <w:name w:val="annotation reference"/>
    <w:uiPriority w:val="49"/>
    <w:semiHidden/>
    <w:rsid w:val="005476DA"/>
    <w:rPr>
      <w:rFonts w:ascii="Calibri" w:hAnsi="Calibri"/>
      <w:sz w:val="16"/>
    </w:rPr>
  </w:style>
  <w:style w:type="paragraph" w:styleId="CommentText">
    <w:name w:val="annotation text"/>
    <w:basedOn w:val="Normal"/>
    <w:link w:val="CommentText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CommentTextChar">
    <w:name w:val="Comment Text Char"/>
    <w:basedOn w:val="DefaultParagraphFont"/>
    <w:link w:val="CommentText"/>
    <w:uiPriority w:val="49"/>
    <w:semiHidden/>
    <w:rsid w:val="005476DA"/>
    <w:rPr>
      <w:rFonts w:ascii="Calibri" w:eastAsia="Times New Roman" w:hAnsi="Calibri" w:cs="Calibri"/>
      <w:sz w:val="22"/>
      <w:szCs w:val="22"/>
    </w:rPr>
  </w:style>
  <w:style w:type="paragraph" w:customStyle="1" w:styleId="Heading4indent">
    <w:name w:val="Heading 4 indent"/>
    <w:basedOn w:val="Heading4"/>
    <w:uiPriority w:val="4"/>
    <w:qFormat/>
    <w:rsid w:val="00241517"/>
    <w:pPr>
      <w:ind w:left="792"/>
    </w:pPr>
    <w:rPr>
      <w:sz w:val="21"/>
    </w:rPr>
  </w:style>
  <w:style w:type="character" w:customStyle="1" w:styleId="Heading6Char">
    <w:name w:val="Heading 6 Char"/>
    <w:basedOn w:val="DefaultParagraphFont"/>
    <w:link w:val="Heading6"/>
    <w:uiPriority w:val="3"/>
    <w:semiHidden/>
    <w:rsid w:val="005476DA"/>
    <w:rPr>
      <w:rFonts w:asciiTheme="majorHAnsi" w:eastAsiaTheme="majorEastAsia" w:hAnsiTheme="majorHAnsi" w:cstheme="majorBidi"/>
      <w:i/>
      <w:iCs/>
      <w:color w:val="003152" w:themeColor="accent1" w:themeShade="7F"/>
      <w:spacing w:val="2"/>
    </w:rPr>
  </w:style>
  <w:style w:type="character" w:customStyle="1" w:styleId="Heading7Char">
    <w:name w:val="Heading 7 Char"/>
    <w:basedOn w:val="DefaultParagraphFont"/>
    <w:link w:val="Heading7"/>
    <w:uiPriority w:val="3"/>
    <w:semiHidden/>
    <w:rsid w:val="005476DA"/>
    <w:rPr>
      <w:rFonts w:ascii="Calibri" w:eastAsia="Times New Roman" w:hAnsi="Calibri" w:cs="Calibri"/>
      <w:b/>
      <w:bCs/>
      <w:iCs/>
      <w:color w:val="404040"/>
      <w:sz w:val="22"/>
      <w:szCs w:val="22"/>
      <w:lang w:eastAsia="en-US"/>
    </w:rPr>
  </w:style>
  <w:style w:type="character" w:customStyle="1" w:styleId="Heading8Char">
    <w:name w:val="Heading 8 Char"/>
    <w:basedOn w:val="DefaultParagraphFont"/>
    <w:link w:val="Heading8"/>
    <w:uiPriority w:val="3"/>
    <w:semiHidden/>
    <w:rsid w:val="005476DA"/>
    <w:rPr>
      <w:rFonts w:ascii="Calibri" w:eastAsia="Times New Roman" w:hAnsi="Calibri" w:cs="Calibri"/>
      <w:bCs/>
      <w:iCs/>
      <w:color w:val="404040"/>
      <w:sz w:val="22"/>
      <w:szCs w:val="22"/>
      <w:lang w:eastAsia="en-US"/>
    </w:rPr>
  </w:style>
  <w:style w:type="character" w:customStyle="1" w:styleId="Heading9Char">
    <w:name w:val="Heading 9 Char"/>
    <w:basedOn w:val="DefaultParagraphFont"/>
    <w:link w:val="Heading9"/>
    <w:uiPriority w:val="3"/>
    <w:semiHidden/>
    <w:rsid w:val="005476DA"/>
    <w:rPr>
      <w:rFonts w:ascii="Calibri" w:eastAsia="Times New Roman" w:hAnsi="Calibri" w:cs="Calibri"/>
      <w:bCs/>
      <w:iCs/>
      <w:color w:val="404040"/>
      <w:sz w:val="22"/>
      <w:szCs w:val="22"/>
      <w:lang w:eastAsia="en-US"/>
    </w:rPr>
  </w:style>
  <w:style w:type="paragraph" w:customStyle="1" w:styleId="NormalIndent2">
    <w:name w:val="Normal Indent 2"/>
    <w:basedOn w:val="NormalIndent"/>
    <w:uiPriority w:val="4"/>
    <w:qFormat/>
    <w:rsid w:val="00D00949"/>
    <w:pPr>
      <w:ind w:left="1440"/>
    </w:pPr>
  </w:style>
  <w:style w:type="paragraph" w:customStyle="1" w:styleId="Tabletextnum">
    <w:name w:val="Table text num"/>
    <w:basedOn w:val="Listnumindent"/>
    <w:uiPriority w:val="4"/>
    <w:qFormat/>
    <w:rsid w:val="00406471"/>
    <w:pPr>
      <w:spacing w:line="264" w:lineRule="auto"/>
    </w:pPr>
    <w:rPr>
      <w:rFonts w:eastAsiaTheme="minorHAnsi"/>
      <w:sz w:val="17"/>
      <w:szCs w:val="21"/>
      <w:lang w:eastAsia="en-US"/>
    </w:rPr>
  </w:style>
  <w:style w:type="table" w:customStyle="1" w:styleId="VMIABasicTable1">
    <w:name w:val="VMIA Basic Table1"/>
    <w:basedOn w:val="TableNormal"/>
    <w:uiPriority w:val="99"/>
    <w:rsid w:val="005476DA"/>
    <w:pPr>
      <w:spacing w:after="0" w:line="240" w:lineRule="auto"/>
    </w:pPr>
    <w:rPr>
      <w:rFonts w:ascii="Arial" w:eastAsiaTheme="minorHAnsi" w:hAnsi="Arial"/>
      <w:sz w:val="22"/>
      <w:szCs w:val="22"/>
      <w:lang w:eastAsia="en-US"/>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pPr>
        <w:wordWrap/>
        <w:spacing w:beforeLines="0" w:before="0" w:beforeAutospacing="0" w:afterLines="0" w:after="0" w:afterAutospacing="0" w:line="240" w:lineRule="auto"/>
        <w:ind w:leftChars="0" w:left="0" w:rightChars="0" w:right="0" w:firstLineChars="0" w:firstLine="0"/>
        <w:jc w:val="left"/>
      </w:pPr>
      <w:rPr>
        <w:rFonts w:ascii="Arial" w:hAnsi="Arial"/>
        <w:b w:val="0"/>
        <w:color w:val="FFFFFF" w:themeColor="background1"/>
        <w:sz w:val="22"/>
      </w:rPr>
      <w:tblPr/>
      <w:tcPr>
        <w:shd w:val="clear" w:color="auto" w:fill="003366"/>
        <w:vAlign w:val="center"/>
      </w:tcPr>
    </w:tblStylePr>
  </w:style>
  <w:style w:type="character" w:customStyle="1" w:styleId="Heading5Char">
    <w:name w:val="Heading 5 Char"/>
    <w:basedOn w:val="DefaultParagraphFont"/>
    <w:link w:val="Heading5"/>
    <w:uiPriority w:val="3"/>
    <w:rsid w:val="006926C1"/>
    <w:rPr>
      <w:b/>
      <w:color w:val="0063A6" w:themeColor="accent1"/>
      <w:spacing w:val="2"/>
    </w:rPr>
  </w:style>
  <w:style w:type="paragraph" w:customStyle="1" w:styleId="TableBulletindent">
    <w:name w:val="Table Bullet indent"/>
    <w:basedOn w:val="Tablebullet"/>
    <w:uiPriority w:val="6"/>
    <w:qFormat/>
    <w:rsid w:val="0060329E"/>
    <w:pPr>
      <w:ind w:left="1584"/>
    </w:pPr>
    <w:rPr>
      <w:rFonts w:eastAsiaTheme="minorHAnsi"/>
      <w:szCs w:val="21"/>
      <w:lang w:eastAsia="en-US"/>
    </w:rPr>
  </w:style>
  <w:style w:type="numbering" w:styleId="111111">
    <w:name w:val="Outline List 2"/>
    <w:basedOn w:val="NoList"/>
    <w:uiPriority w:val="99"/>
    <w:semiHidden/>
    <w:unhideWhenUsed/>
    <w:rsid w:val="005476DA"/>
    <w:pPr>
      <w:numPr>
        <w:numId w:val="4"/>
      </w:numPr>
    </w:pPr>
  </w:style>
  <w:style w:type="numbering" w:styleId="1ai">
    <w:name w:val="Outline List 1"/>
    <w:basedOn w:val="NoList"/>
    <w:uiPriority w:val="99"/>
    <w:semiHidden/>
    <w:unhideWhenUsed/>
    <w:rsid w:val="005476DA"/>
    <w:pPr>
      <w:numPr>
        <w:numId w:val="5"/>
      </w:numPr>
    </w:pPr>
  </w:style>
  <w:style w:type="numbering" w:styleId="ArticleSection">
    <w:name w:val="Outline List 3"/>
    <w:basedOn w:val="NoList"/>
    <w:uiPriority w:val="99"/>
    <w:semiHidden/>
    <w:unhideWhenUsed/>
    <w:rsid w:val="005476DA"/>
    <w:pPr>
      <w:numPr>
        <w:numId w:val="6"/>
      </w:numPr>
    </w:pPr>
  </w:style>
  <w:style w:type="paragraph" w:styleId="Bibliography">
    <w:name w:val="Bibliography"/>
    <w:basedOn w:val="Normal"/>
    <w:next w:val="Normal"/>
    <w:uiPriority w:val="37"/>
    <w:semiHidden/>
    <w:unhideWhenUsed/>
    <w:rsid w:val="005476DA"/>
    <w:pPr>
      <w:spacing w:before="100" w:after="120" w:line="240" w:lineRule="auto"/>
      <w:ind w:left="794"/>
    </w:pPr>
    <w:rPr>
      <w:rFonts w:ascii="Calibri" w:eastAsia="Times New Roman" w:hAnsi="Calibri" w:cs="Calibri"/>
      <w:i/>
      <w:spacing w:val="0"/>
      <w:sz w:val="18"/>
      <w:szCs w:val="22"/>
    </w:rPr>
  </w:style>
  <w:style w:type="paragraph" w:styleId="BlockText">
    <w:name w:val="Block Text"/>
    <w:basedOn w:val="Normal"/>
    <w:uiPriority w:val="49"/>
    <w:semiHidden/>
    <w:rsid w:val="005476DA"/>
    <w:pPr>
      <w:spacing w:before="100" w:after="120" w:line="240" w:lineRule="auto"/>
      <w:ind w:left="1440" w:right="1440"/>
    </w:pPr>
    <w:rPr>
      <w:rFonts w:ascii="Calibri" w:eastAsia="Times New Roman" w:hAnsi="Calibri" w:cs="Calibri"/>
      <w:spacing w:val="0"/>
      <w:sz w:val="22"/>
      <w:szCs w:val="22"/>
    </w:rPr>
  </w:style>
  <w:style w:type="paragraph" w:styleId="BodyText2">
    <w:name w:val="Body Text 2"/>
    <w:basedOn w:val="Normal"/>
    <w:link w:val="BodyText2Char"/>
    <w:uiPriority w:val="49"/>
    <w:semiHidden/>
    <w:rsid w:val="005476DA"/>
    <w:pPr>
      <w:spacing w:before="100" w:after="120" w:line="480" w:lineRule="auto"/>
      <w:ind w:left="794"/>
    </w:pPr>
    <w:rPr>
      <w:rFonts w:ascii="Calibri" w:eastAsia="Times New Roman" w:hAnsi="Calibri" w:cs="Calibri"/>
      <w:spacing w:val="0"/>
      <w:sz w:val="22"/>
      <w:szCs w:val="22"/>
    </w:rPr>
  </w:style>
  <w:style w:type="character" w:customStyle="1" w:styleId="BodyText2Char">
    <w:name w:val="Body Text 2 Char"/>
    <w:basedOn w:val="DefaultParagraphFont"/>
    <w:link w:val="BodyText2"/>
    <w:uiPriority w:val="49"/>
    <w:semiHidden/>
    <w:rsid w:val="005476DA"/>
    <w:rPr>
      <w:rFonts w:ascii="Calibri" w:eastAsia="Times New Roman" w:hAnsi="Calibri" w:cs="Calibri"/>
      <w:sz w:val="22"/>
      <w:szCs w:val="22"/>
    </w:rPr>
  </w:style>
  <w:style w:type="paragraph" w:styleId="BodyText3">
    <w:name w:val="Body Text 3"/>
    <w:basedOn w:val="Normal"/>
    <w:link w:val="BodyText3Char"/>
    <w:uiPriority w:val="49"/>
    <w:semiHidden/>
    <w:rsid w:val="005476DA"/>
    <w:pPr>
      <w:spacing w:before="100" w:after="120" w:line="240" w:lineRule="auto"/>
      <w:ind w:left="794"/>
    </w:pPr>
    <w:rPr>
      <w:rFonts w:ascii="Calibri" w:eastAsia="Times New Roman" w:hAnsi="Calibri" w:cs="Calibri"/>
      <w:spacing w:val="0"/>
      <w:sz w:val="16"/>
      <w:szCs w:val="16"/>
    </w:rPr>
  </w:style>
  <w:style w:type="character" w:customStyle="1" w:styleId="BodyText3Char">
    <w:name w:val="Body Text 3 Char"/>
    <w:basedOn w:val="DefaultParagraphFont"/>
    <w:link w:val="BodyText3"/>
    <w:uiPriority w:val="49"/>
    <w:semiHidden/>
    <w:rsid w:val="005476DA"/>
    <w:rPr>
      <w:rFonts w:ascii="Calibri" w:eastAsia="Times New Roman" w:hAnsi="Calibri" w:cs="Calibri"/>
      <w:sz w:val="16"/>
      <w:szCs w:val="16"/>
    </w:rPr>
  </w:style>
  <w:style w:type="paragraph" w:styleId="BodyTextFirstIndent">
    <w:name w:val="Body Text First Indent"/>
    <w:basedOn w:val="BodyText"/>
    <w:link w:val="BodyTextFirstIndentChar"/>
    <w:uiPriority w:val="49"/>
    <w:semiHidden/>
    <w:rsid w:val="005476DA"/>
    <w:pPr>
      <w:spacing w:after="120"/>
      <w:ind w:firstLine="210"/>
    </w:pPr>
  </w:style>
  <w:style w:type="character" w:customStyle="1" w:styleId="BodyTextFirstIndentChar">
    <w:name w:val="Body Text First Indent Char"/>
    <w:basedOn w:val="BodyTextChar"/>
    <w:link w:val="BodyTextFirstIndent"/>
    <w:uiPriority w:val="49"/>
    <w:semiHidden/>
    <w:rsid w:val="005476DA"/>
    <w:rPr>
      <w:rFonts w:ascii="Calibri" w:eastAsia="Times New Roman" w:hAnsi="Calibri" w:cs="Calibri"/>
      <w:sz w:val="22"/>
      <w:szCs w:val="22"/>
    </w:rPr>
  </w:style>
  <w:style w:type="paragraph" w:styleId="BodyTextIndent">
    <w:name w:val="Body Text Indent"/>
    <w:basedOn w:val="Normal"/>
    <w:link w:val="BodyTextIndentChar"/>
    <w:uiPriority w:val="49"/>
    <w:semiHidden/>
    <w:rsid w:val="005476DA"/>
    <w:pPr>
      <w:spacing w:before="100" w:after="120" w:line="240" w:lineRule="auto"/>
      <w:ind w:left="283"/>
    </w:pPr>
    <w:rPr>
      <w:rFonts w:ascii="Calibri" w:eastAsia="Times New Roman" w:hAnsi="Calibri" w:cs="Calibri"/>
      <w:spacing w:val="0"/>
      <w:sz w:val="22"/>
      <w:szCs w:val="22"/>
    </w:rPr>
  </w:style>
  <w:style w:type="character" w:customStyle="1" w:styleId="BodyTextIndentChar">
    <w:name w:val="Body Text Indent Char"/>
    <w:basedOn w:val="DefaultParagraphFont"/>
    <w:link w:val="BodyTextIndent"/>
    <w:uiPriority w:val="49"/>
    <w:semiHidden/>
    <w:rsid w:val="005476DA"/>
    <w:rPr>
      <w:rFonts w:ascii="Calibri" w:eastAsia="Times New Roman" w:hAnsi="Calibri" w:cs="Calibri"/>
      <w:sz w:val="22"/>
      <w:szCs w:val="22"/>
    </w:rPr>
  </w:style>
  <w:style w:type="paragraph" w:styleId="BodyTextFirstIndent2">
    <w:name w:val="Body Text First Indent 2"/>
    <w:basedOn w:val="BodyTextIndent"/>
    <w:link w:val="BodyTextFirstIndent2Char"/>
    <w:uiPriority w:val="49"/>
    <w:semiHidden/>
    <w:rsid w:val="005476DA"/>
    <w:pPr>
      <w:ind w:firstLine="210"/>
    </w:pPr>
  </w:style>
  <w:style w:type="character" w:customStyle="1" w:styleId="BodyTextFirstIndent2Char">
    <w:name w:val="Body Text First Indent 2 Char"/>
    <w:basedOn w:val="BodyTextIndentChar"/>
    <w:link w:val="BodyTextFirstIndent2"/>
    <w:uiPriority w:val="49"/>
    <w:semiHidden/>
    <w:rsid w:val="005476DA"/>
    <w:rPr>
      <w:rFonts w:ascii="Calibri" w:eastAsia="Times New Roman" w:hAnsi="Calibri" w:cs="Calibri"/>
      <w:sz w:val="22"/>
      <w:szCs w:val="22"/>
    </w:rPr>
  </w:style>
  <w:style w:type="paragraph" w:styleId="BodyTextIndent2">
    <w:name w:val="Body Text Indent 2"/>
    <w:basedOn w:val="Normal"/>
    <w:link w:val="BodyTextIndent2Char"/>
    <w:uiPriority w:val="49"/>
    <w:semiHidden/>
    <w:rsid w:val="005476DA"/>
    <w:pPr>
      <w:spacing w:before="100" w:after="120" w:line="480" w:lineRule="auto"/>
      <w:ind w:left="283"/>
    </w:pPr>
    <w:rPr>
      <w:rFonts w:ascii="Calibri" w:eastAsia="Times New Roman" w:hAnsi="Calibri" w:cs="Calibri"/>
      <w:spacing w:val="0"/>
      <w:sz w:val="22"/>
      <w:szCs w:val="22"/>
    </w:rPr>
  </w:style>
  <w:style w:type="character" w:customStyle="1" w:styleId="BodyTextIndent2Char">
    <w:name w:val="Body Text Indent 2 Char"/>
    <w:basedOn w:val="DefaultParagraphFont"/>
    <w:link w:val="BodyTextIndent2"/>
    <w:uiPriority w:val="49"/>
    <w:semiHidden/>
    <w:rsid w:val="005476DA"/>
    <w:rPr>
      <w:rFonts w:ascii="Calibri" w:eastAsia="Times New Roman" w:hAnsi="Calibri" w:cs="Calibri"/>
      <w:sz w:val="22"/>
      <w:szCs w:val="22"/>
    </w:rPr>
  </w:style>
  <w:style w:type="paragraph" w:styleId="BodyTextIndent3">
    <w:name w:val="Body Text Indent 3"/>
    <w:basedOn w:val="Normal"/>
    <w:link w:val="BodyTextIndent3Char"/>
    <w:uiPriority w:val="49"/>
    <w:semiHidden/>
    <w:rsid w:val="005476DA"/>
    <w:pPr>
      <w:spacing w:before="100" w:after="120" w:line="240" w:lineRule="auto"/>
      <w:ind w:left="283"/>
    </w:pPr>
    <w:rPr>
      <w:rFonts w:ascii="Calibri" w:eastAsia="Times New Roman" w:hAnsi="Calibri" w:cs="Calibri"/>
      <w:spacing w:val="0"/>
      <w:sz w:val="16"/>
      <w:szCs w:val="16"/>
    </w:rPr>
  </w:style>
  <w:style w:type="character" w:customStyle="1" w:styleId="BodyTextIndent3Char">
    <w:name w:val="Body Text Indent 3 Char"/>
    <w:basedOn w:val="DefaultParagraphFont"/>
    <w:link w:val="BodyTextIndent3"/>
    <w:uiPriority w:val="49"/>
    <w:semiHidden/>
    <w:rsid w:val="005476DA"/>
    <w:rPr>
      <w:rFonts w:ascii="Calibri" w:eastAsia="Times New Roman" w:hAnsi="Calibri" w:cs="Calibri"/>
      <w:sz w:val="16"/>
      <w:szCs w:val="16"/>
    </w:rPr>
  </w:style>
  <w:style w:type="paragraph" w:styleId="Closing">
    <w:name w:val="Closing"/>
    <w:basedOn w:val="Normal"/>
    <w:link w:val="ClosingChar"/>
    <w:uiPriority w:val="49"/>
    <w:semiHidden/>
    <w:rsid w:val="005476DA"/>
    <w:pPr>
      <w:spacing w:before="100" w:line="240" w:lineRule="auto"/>
      <w:ind w:left="4252"/>
    </w:pPr>
    <w:rPr>
      <w:rFonts w:ascii="Calibri" w:eastAsia="Times New Roman" w:hAnsi="Calibri" w:cs="Calibri"/>
      <w:spacing w:val="0"/>
      <w:sz w:val="22"/>
      <w:szCs w:val="22"/>
    </w:rPr>
  </w:style>
  <w:style w:type="character" w:customStyle="1" w:styleId="ClosingChar">
    <w:name w:val="Closing Char"/>
    <w:basedOn w:val="DefaultParagraphFont"/>
    <w:link w:val="Closing"/>
    <w:uiPriority w:val="49"/>
    <w:semiHidden/>
    <w:rsid w:val="005476DA"/>
    <w:rPr>
      <w:rFonts w:ascii="Calibri" w:eastAsia="Times New Roman" w:hAnsi="Calibri" w:cs="Calibri"/>
      <w:sz w:val="22"/>
      <w:szCs w:val="22"/>
    </w:rPr>
  </w:style>
  <w:style w:type="table" w:styleId="ColorfulGrid">
    <w:name w:val="Colorful Grid"/>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49"/>
    <w:semiHidden/>
    <w:rsid w:val="005476DA"/>
    <w:rPr>
      <w:b/>
      <w:bCs/>
    </w:rPr>
  </w:style>
  <w:style w:type="character" w:customStyle="1" w:styleId="CommentSubjectChar">
    <w:name w:val="Comment Subject Char"/>
    <w:basedOn w:val="CommentTextChar"/>
    <w:link w:val="CommentSubject"/>
    <w:uiPriority w:val="49"/>
    <w:semiHidden/>
    <w:rsid w:val="005476DA"/>
    <w:rPr>
      <w:rFonts w:ascii="Calibri" w:eastAsia="Times New Roman" w:hAnsi="Calibri" w:cs="Calibri"/>
      <w:b/>
      <w:bCs/>
      <w:sz w:val="22"/>
      <w:szCs w:val="22"/>
    </w:rPr>
  </w:style>
  <w:style w:type="table" w:styleId="DarkList">
    <w:name w:val="Dark List"/>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5476DA"/>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5476DA"/>
    <w:pPr>
      <w:spacing w:before="100" w:line="240" w:lineRule="auto"/>
      <w:ind w:left="1411"/>
    </w:pPr>
    <w:rPr>
      <w:rFonts w:ascii="Calibri" w:eastAsia="Times New Roman" w:hAnsi="Calibri" w:cs="Calibri"/>
      <w:spacing w:val="0"/>
      <w:sz w:val="22"/>
      <w:szCs w:val="22"/>
    </w:rPr>
  </w:style>
  <w:style w:type="character" w:customStyle="1" w:styleId="DateChar">
    <w:name w:val="Date Char"/>
    <w:basedOn w:val="DefaultParagraphFont"/>
    <w:link w:val="Date"/>
    <w:uiPriority w:val="49"/>
    <w:semiHidden/>
    <w:rsid w:val="005476DA"/>
    <w:rPr>
      <w:rFonts w:ascii="Calibri" w:eastAsia="Times New Roman" w:hAnsi="Calibri" w:cs="Calibri"/>
      <w:sz w:val="22"/>
      <w:szCs w:val="22"/>
    </w:rPr>
  </w:style>
  <w:style w:type="paragraph" w:styleId="DocumentMap">
    <w:name w:val="Document Map"/>
    <w:basedOn w:val="Normal"/>
    <w:link w:val="DocumentMapChar"/>
    <w:uiPriority w:val="49"/>
    <w:semiHidden/>
    <w:rsid w:val="005476DA"/>
    <w:pPr>
      <w:shd w:val="clear" w:color="auto" w:fill="000080"/>
      <w:spacing w:before="100" w:line="240" w:lineRule="auto"/>
      <w:ind w:left="794"/>
    </w:pPr>
    <w:rPr>
      <w:rFonts w:ascii="Calibri" w:eastAsia="Times New Roman" w:hAnsi="Calibri" w:cs="Calibri"/>
      <w:spacing w:val="0"/>
      <w:sz w:val="22"/>
      <w:szCs w:val="22"/>
    </w:rPr>
  </w:style>
  <w:style w:type="character" w:customStyle="1" w:styleId="DocumentMapChar">
    <w:name w:val="Document Map Char"/>
    <w:basedOn w:val="DefaultParagraphFont"/>
    <w:link w:val="DocumentMap"/>
    <w:uiPriority w:val="49"/>
    <w:semiHidden/>
    <w:rsid w:val="005476DA"/>
    <w:rPr>
      <w:rFonts w:ascii="Calibri" w:eastAsia="Times New Roman" w:hAnsi="Calibri" w:cs="Calibri"/>
      <w:sz w:val="22"/>
      <w:szCs w:val="22"/>
      <w:shd w:val="clear" w:color="auto" w:fill="000080"/>
    </w:rPr>
  </w:style>
  <w:style w:type="paragraph" w:styleId="E-mailSignature">
    <w:name w:val="E-mail Signature"/>
    <w:basedOn w:val="Normal"/>
    <w:link w:val="E-mailSignature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E-mailSignatureChar">
    <w:name w:val="E-mail Signature Char"/>
    <w:basedOn w:val="DefaultParagraphFont"/>
    <w:link w:val="E-mailSignature"/>
    <w:uiPriority w:val="49"/>
    <w:semiHidden/>
    <w:rsid w:val="005476DA"/>
    <w:rPr>
      <w:rFonts w:ascii="Calibri" w:eastAsia="Times New Roman" w:hAnsi="Calibri" w:cs="Calibri"/>
      <w:sz w:val="22"/>
      <w:szCs w:val="22"/>
    </w:rPr>
  </w:style>
  <w:style w:type="character" w:styleId="EndnoteReference">
    <w:name w:val="endnote reference"/>
    <w:uiPriority w:val="49"/>
    <w:semiHidden/>
    <w:rsid w:val="005476DA"/>
    <w:rPr>
      <w:vertAlign w:val="superscript"/>
    </w:rPr>
  </w:style>
  <w:style w:type="paragraph" w:styleId="EndnoteText">
    <w:name w:val="endnote text"/>
    <w:basedOn w:val="Normal"/>
    <w:link w:val="EndnoteText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EndnoteTextChar">
    <w:name w:val="Endnote Text Char"/>
    <w:basedOn w:val="DefaultParagraphFont"/>
    <w:link w:val="EndnoteText"/>
    <w:uiPriority w:val="49"/>
    <w:semiHidden/>
    <w:rsid w:val="005476DA"/>
    <w:rPr>
      <w:rFonts w:ascii="Calibri" w:eastAsia="Times New Roman" w:hAnsi="Calibri" w:cs="Calibri"/>
      <w:sz w:val="22"/>
      <w:szCs w:val="22"/>
    </w:rPr>
  </w:style>
  <w:style w:type="paragraph" w:styleId="EnvelopeAddress">
    <w:name w:val="envelope address"/>
    <w:basedOn w:val="Normal"/>
    <w:uiPriority w:val="49"/>
    <w:semiHidden/>
    <w:rsid w:val="005476DA"/>
    <w:pPr>
      <w:framePr w:w="7920" w:h="1980" w:hRule="exact" w:hSpace="180" w:wrap="auto" w:hAnchor="page" w:xAlign="center" w:yAlign="bottom"/>
      <w:spacing w:before="100" w:line="240" w:lineRule="auto"/>
      <w:ind w:left="2880"/>
    </w:pPr>
    <w:rPr>
      <w:rFonts w:ascii="Calibri" w:eastAsia="Times New Roman" w:hAnsi="Calibri" w:cs="Calibri"/>
      <w:spacing w:val="0"/>
      <w:sz w:val="24"/>
      <w:szCs w:val="24"/>
    </w:rPr>
  </w:style>
  <w:style w:type="paragraph" w:styleId="EnvelopeReturn">
    <w:name w:val="envelope return"/>
    <w:basedOn w:val="Normal"/>
    <w:uiPriority w:val="49"/>
    <w:semiHidden/>
    <w:rsid w:val="005476DA"/>
    <w:pPr>
      <w:spacing w:before="100" w:line="240" w:lineRule="auto"/>
      <w:ind w:left="794"/>
    </w:pPr>
    <w:rPr>
      <w:rFonts w:ascii="Calibri" w:eastAsia="Times New Roman" w:hAnsi="Calibri" w:cs="Calibri"/>
      <w:spacing w:val="0"/>
      <w:sz w:val="22"/>
      <w:szCs w:val="22"/>
    </w:rPr>
  </w:style>
  <w:style w:type="paragraph" w:customStyle="1" w:styleId="FactSheetBullet1">
    <w:name w:val="Fact Sheet Bullet 1"/>
    <w:basedOn w:val="Normal"/>
    <w:semiHidden/>
    <w:rsid w:val="005476DA"/>
    <w:pPr>
      <w:spacing w:before="100" w:after="60" w:line="220" w:lineRule="atLeast"/>
      <w:contextualSpacing/>
    </w:pPr>
    <w:rPr>
      <w:rFonts w:ascii="Calibri" w:eastAsia="Times New Roman" w:hAnsi="Calibri" w:cs="Calibri"/>
      <w:spacing w:val="0"/>
      <w:sz w:val="18"/>
      <w:szCs w:val="22"/>
    </w:rPr>
  </w:style>
  <w:style w:type="paragraph" w:customStyle="1" w:styleId="FactSheetBullet2">
    <w:name w:val="Fact Sheet Bullet 2"/>
    <w:basedOn w:val="Normal"/>
    <w:semiHidden/>
    <w:rsid w:val="005476DA"/>
    <w:pPr>
      <w:spacing w:before="80" w:after="60" w:line="220" w:lineRule="atLeast"/>
      <w:contextualSpacing/>
    </w:pPr>
    <w:rPr>
      <w:rFonts w:ascii="Calibri" w:eastAsia="Times New Roman" w:hAnsi="Calibri" w:cs="Calibri"/>
      <w:spacing w:val="0"/>
      <w:sz w:val="18"/>
      <w:szCs w:val="22"/>
    </w:rPr>
  </w:style>
  <w:style w:type="paragraph" w:customStyle="1" w:styleId="FactSheetBullet3">
    <w:name w:val="Fact Sheet Bullet 3"/>
    <w:basedOn w:val="FactSheetBullet2"/>
    <w:semiHidden/>
    <w:rsid w:val="005476DA"/>
  </w:style>
  <w:style w:type="character" w:styleId="FollowedHyperlink">
    <w:name w:val="FollowedHyperlink"/>
    <w:uiPriority w:val="99"/>
    <w:semiHidden/>
    <w:rsid w:val="005476DA"/>
    <w:rPr>
      <w:color w:val="800080"/>
      <w:u w:val="single"/>
    </w:rPr>
  </w:style>
  <w:style w:type="character" w:styleId="HTMLAcronym">
    <w:name w:val="HTML Acronym"/>
    <w:basedOn w:val="DefaultParagraphFont"/>
    <w:uiPriority w:val="99"/>
    <w:semiHidden/>
    <w:rsid w:val="005476DA"/>
  </w:style>
  <w:style w:type="paragraph" w:styleId="HTMLAddress">
    <w:name w:val="HTML Address"/>
    <w:basedOn w:val="Normal"/>
    <w:link w:val="HTMLAddressChar"/>
    <w:uiPriority w:val="49"/>
    <w:semiHidden/>
    <w:rsid w:val="005476DA"/>
    <w:pPr>
      <w:spacing w:before="100" w:line="240" w:lineRule="auto"/>
      <w:ind w:left="794"/>
    </w:pPr>
    <w:rPr>
      <w:rFonts w:ascii="Calibri" w:eastAsia="Times New Roman" w:hAnsi="Calibri" w:cs="Calibri"/>
      <w:i/>
      <w:iCs/>
      <w:spacing w:val="0"/>
      <w:sz w:val="22"/>
      <w:szCs w:val="22"/>
    </w:rPr>
  </w:style>
  <w:style w:type="character" w:customStyle="1" w:styleId="HTMLAddressChar">
    <w:name w:val="HTML Address Char"/>
    <w:basedOn w:val="DefaultParagraphFont"/>
    <w:link w:val="HTMLAddress"/>
    <w:uiPriority w:val="49"/>
    <w:semiHidden/>
    <w:rsid w:val="005476DA"/>
    <w:rPr>
      <w:rFonts w:ascii="Calibri" w:eastAsia="Times New Roman" w:hAnsi="Calibri" w:cs="Calibri"/>
      <w:i/>
      <w:iCs/>
      <w:sz w:val="22"/>
      <w:szCs w:val="22"/>
    </w:rPr>
  </w:style>
  <w:style w:type="character" w:styleId="HTMLCite">
    <w:name w:val="HTML Cite"/>
    <w:uiPriority w:val="99"/>
    <w:semiHidden/>
    <w:rsid w:val="005476DA"/>
    <w:rPr>
      <w:i/>
      <w:iCs/>
    </w:rPr>
  </w:style>
  <w:style w:type="character" w:styleId="HTMLCode">
    <w:name w:val="HTML Code"/>
    <w:uiPriority w:val="99"/>
    <w:semiHidden/>
    <w:rsid w:val="005476DA"/>
    <w:rPr>
      <w:sz w:val="20"/>
      <w:szCs w:val="20"/>
    </w:rPr>
  </w:style>
  <w:style w:type="character" w:styleId="HTMLDefinition">
    <w:name w:val="HTML Definition"/>
    <w:uiPriority w:val="99"/>
    <w:semiHidden/>
    <w:rsid w:val="005476DA"/>
    <w:rPr>
      <w:i/>
      <w:iCs/>
    </w:rPr>
  </w:style>
  <w:style w:type="character" w:styleId="HTMLKeyboard">
    <w:name w:val="HTML Keyboard"/>
    <w:uiPriority w:val="99"/>
    <w:semiHidden/>
    <w:rsid w:val="005476DA"/>
    <w:rPr>
      <w:sz w:val="20"/>
      <w:szCs w:val="20"/>
    </w:rPr>
  </w:style>
  <w:style w:type="paragraph" w:styleId="HTMLPreformatted">
    <w:name w:val="HTML Preformatted"/>
    <w:basedOn w:val="Normal"/>
    <w:link w:val="HTMLPreformatted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HTMLPreformattedChar">
    <w:name w:val="HTML Preformatted Char"/>
    <w:basedOn w:val="DefaultParagraphFont"/>
    <w:link w:val="HTMLPreformatted"/>
    <w:uiPriority w:val="49"/>
    <w:semiHidden/>
    <w:rsid w:val="005476DA"/>
    <w:rPr>
      <w:rFonts w:ascii="Calibri" w:eastAsia="Times New Roman" w:hAnsi="Calibri" w:cs="Calibri"/>
      <w:sz w:val="22"/>
      <w:szCs w:val="22"/>
    </w:rPr>
  </w:style>
  <w:style w:type="character" w:styleId="HTMLSample">
    <w:name w:val="HTML Sample"/>
    <w:uiPriority w:val="99"/>
    <w:semiHidden/>
    <w:rsid w:val="005476DA"/>
    <w:rPr>
      <w:sz w:val="24"/>
      <w:szCs w:val="24"/>
    </w:rPr>
  </w:style>
  <w:style w:type="character" w:styleId="HTMLTypewriter">
    <w:name w:val="HTML Typewriter"/>
    <w:uiPriority w:val="99"/>
    <w:semiHidden/>
    <w:rsid w:val="005476DA"/>
    <w:rPr>
      <w:sz w:val="20"/>
      <w:szCs w:val="20"/>
    </w:rPr>
  </w:style>
  <w:style w:type="character" w:styleId="HTMLVariable">
    <w:name w:val="HTML Variable"/>
    <w:uiPriority w:val="99"/>
    <w:semiHidden/>
    <w:rsid w:val="005476DA"/>
    <w:rPr>
      <w:i/>
      <w:iCs/>
    </w:rPr>
  </w:style>
  <w:style w:type="paragraph" w:styleId="Index3">
    <w:name w:val="index 3"/>
    <w:basedOn w:val="Normal"/>
    <w:next w:val="Normal"/>
    <w:autoRedefine/>
    <w:uiPriority w:val="49"/>
    <w:semiHidden/>
    <w:rsid w:val="005476DA"/>
    <w:pPr>
      <w:spacing w:before="100" w:line="240" w:lineRule="auto"/>
      <w:ind w:left="600" w:hanging="200"/>
    </w:pPr>
    <w:rPr>
      <w:rFonts w:ascii="Calibri" w:eastAsia="Times New Roman" w:hAnsi="Calibri" w:cs="Calibri"/>
      <w:spacing w:val="0"/>
      <w:sz w:val="22"/>
      <w:szCs w:val="22"/>
    </w:rPr>
  </w:style>
  <w:style w:type="paragraph" w:styleId="Index4">
    <w:name w:val="index 4"/>
    <w:basedOn w:val="Normal"/>
    <w:next w:val="Normal"/>
    <w:autoRedefine/>
    <w:uiPriority w:val="49"/>
    <w:semiHidden/>
    <w:rsid w:val="005476DA"/>
    <w:pPr>
      <w:spacing w:before="100" w:line="240" w:lineRule="auto"/>
      <w:ind w:left="800" w:hanging="200"/>
    </w:pPr>
    <w:rPr>
      <w:rFonts w:ascii="Calibri" w:eastAsia="Times New Roman" w:hAnsi="Calibri" w:cs="Calibri"/>
      <w:spacing w:val="0"/>
      <w:sz w:val="22"/>
      <w:szCs w:val="22"/>
    </w:rPr>
  </w:style>
  <w:style w:type="paragraph" w:styleId="Index5">
    <w:name w:val="index 5"/>
    <w:basedOn w:val="Normal"/>
    <w:next w:val="Normal"/>
    <w:autoRedefine/>
    <w:uiPriority w:val="49"/>
    <w:semiHidden/>
    <w:rsid w:val="005476DA"/>
    <w:pPr>
      <w:spacing w:before="100" w:line="240" w:lineRule="auto"/>
      <w:ind w:left="1000" w:hanging="200"/>
    </w:pPr>
    <w:rPr>
      <w:rFonts w:ascii="Calibri" w:eastAsia="Times New Roman" w:hAnsi="Calibri" w:cs="Calibri"/>
      <w:spacing w:val="0"/>
      <w:sz w:val="22"/>
      <w:szCs w:val="22"/>
    </w:rPr>
  </w:style>
  <w:style w:type="paragraph" w:styleId="Index6">
    <w:name w:val="index 6"/>
    <w:basedOn w:val="Normal"/>
    <w:next w:val="Normal"/>
    <w:autoRedefine/>
    <w:uiPriority w:val="49"/>
    <w:semiHidden/>
    <w:rsid w:val="005476DA"/>
    <w:pPr>
      <w:spacing w:before="100" w:line="240" w:lineRule="auto"/>
      <w:ind w:left="1200" w:hanging="200"/>
    </w:pPr>
    <w:rPr>
      <w:rFonts w:ascii="Calibri" w:eastAsia="Times New Roman" w:hAnsi="Calibri" w:cs="Calibri"/>
      <w:spacing w:val="0"/>
      <w:sz w:val="22"/>
      <w:szCs w:val="22"/>
    </w:rPr>
  </w:style>
  <w:style w:type="paragraph" w:styleId="Index7">
    <w:name w:val="index 7"/>
    <w:basedOn w:val="Normal"/>
    <w:next w:val="Normal"/>
    <w:autoRedefine/>
    <w:uiPriority w:val="49"/>
    <w:semiHidden/>
    <w:rsid w:val="005476DA"/>
    <w:pPr>
      <w:spacing w:before="100" w:line="240" w:lineRule="auto"/>
      <w:ind w:left="1400" w:hanging="200"/>
    </w:pPr>
    <w:rPr>
      <w:rFonts w:ascii="Calibri" w:eastAsia="Times New Roman" w:hAnsi="Calibri" w:cs="Calibri"/>
      <w:spacing w:val="0"/>
      <w:sz w:val="22"/>
      <w:szCs w:val="22"/>
    </w:rPr>
  </w:style>
  <w:style w:type="paragraph" w:styleId="Index8">
    <w:name w:val="index 8"/>
    <w:basedOn w:val="Normal"/>
    <w:next w:val="Normal"/>
    <w:autoRedefine/>
    <w:uiPriority w:val="49"/>
    <w:semiHidden/>
    <w:rsid w:val="005476DA"/>
    <w:pPr>
      <w:spacing w:before="100" w:line="240" w:lineRule="auto"/>
      <w:ind w:left="1600" w:hanging="200"/>
    </w:pPr>
    <w:rPr>
      <w:rFonts w:ascii="Calibri" w:eastAsia="Times New Roman" w:hAnsi="Calibri" w:cs="Calibri"/>
      <w:spacing w:val="0"/>
      <w:sz w:val="22"/>
      <w:szCs w:val="22"/>
    </w:rPr>
  </w:style>
  <w:style w:type="paragraph" w:styleId="Index9">
    <w:name w:val="index 9"/>
    <w:basedOn w:val="Normal"/>
    <w:next w:val="Normal"/>
    <w:autoRedefine/>
    <w:uiPriority w:val="49"/>
    <w:semiHidden/>
    <w:rsid w:val="005476DA"/>
    <w:pPr>
      <w:spacing w:before="100" w:line="240" w:lineRule="auto"/>
      <w:ind w:left="1800" w:hanging="200"/>
    </w:pPr>
    <w:rPr>
      <w:rFonts w:ascii="Calibri" w:eastAsia="Times New Roman" w:hAnsi="Calibri" w:cs="Calibri"/>
      <w:spacing w:val="0"/>
      <w:sz w:val="22"/>
      <w:szCs w:val="22"/>
    </w:rPr>
  </w:style>
  <w:style w:type="table" w:styleId="LightGrid">
    <w:name w:val="Light Grid"/>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1">
    <w:name w:val="Light Shading Accent 1"/>
    <w:basedOn w:val="TableNormal"/>
    <w:uiPriority w:val="60"/>
    <w:rsid w:val="005476DA"/>
    <w:pPr>
      <w:spacing w:after="0" w:line="240" w:lineRule="auto"/>
    </w:pPr>
    <w:rPr>
      <w:rFonts w:ascii="Arial" w:eastAsia="Times New Roman" w:hAnsi="Arial"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5476DA"/>
    <w:pPr>
      <w:spacing w:after="0" w:line="240" w:lineRule="auto"/>
    </w:pPr>
    <w:rPr>
      <w:rFonts w:ascii="Arial" w:eastAsia="Times New Roman" w:hAnsi="Arial" w:cs="Times New Roman"/>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5476DA"/>
    <w:pPr>
      <w:spacing w:after="0" w:line="240" w:lineRule="auto"/>
    </w:pPr>
    <w:rPr>
      <w:rFonts w:ascii="Arial" w:eastAsia="Times New Roman" w:hAnsi="Arial"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476DA"/>
    <w:pPr>
      <w:spacing w:after="0" w:line="240" w:lineRule="auto"/>
    </w:pPr>
    <w:rPr>
      <w:rFonts w:ascii="Arial" w:eastAsia="Times New Roman" w:hAnsi="Arial"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476DA"/>
    <w:pPr>
      <w:spacing w:after="0" w:line="240" w:lineRule="auto"/>
    </w:pPr>
    <w:rPr>
      <w:rFonts w:ascii="Arial" w:eastAsia="Times New Roman" w:hAnsi="Arial"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476DA"/>
    <w:pPr>
      <w:spacing w:after="0" w:line="240" w:lineRule="auto"/>
    </w:pPr>
    <w:rPr>
      <w:rFonts w:ascii="Arial" w:eastAsia="Times New Roman" w:hAnsi="Arial"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476DA"/>
    <w:pPr>
      <w:spacing w:after="0" w:line="240" w:lineRule="auto"/>
    </w:pPr>
    <w:rPr>
      <w:rFonts w:ascii="Arial" w:eastAsia="Times New Roman" w:hAnsi="Arial"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5476DA"/>
  </w:style>
  <w:style w:type="paragraph" w:styleId="List">
    <w:name w:val="List"/>
    <w:basedOn w:val="Normal"/>
    <w:uiPriority w:val="49"/>
    <w:semiHidden/>
    <w:rsid w:val="005476DA"/>
    <w:pPr>
      <w:spacing w:before="100" w:line="240" w:lineRule="auto"/>
      <w:ind w:left="283" w:hanging="283"/>
    </w:pPr>
    <w:rPr>
      <w:rFonts w:ascii="Calibri" w:eastAsia="Times New Roman" w:hAnsi="Calibri" w:cs="Calibri"/>
      <w:spacing w:val="0"/>
      <w:sz w:val="22"/>
      <w:szCs w:val="22"/>
    </w:rPr>
  </w:style>
  <w:style w:type="paragraph" w:styleId="List2">
    <w:name w:val="List 2"/>
    <w:basedOn w:val="Normal"/>
    <w:uiPriority w:val="49"/>
    <w:semiHidden/>
    <w:rsid w:val="005476DA"/>
    <w:pPr>
      <w:spacing w:before="100" w:line="240" w:lineRule="auto"/>
      <w:ind w:left="566" w:hanging="283"/>
    </w:pPr>
    <w:rPr>
      <w:rFonts w:ascii="Calibri" w:eastAsia="Times New Roman" w:hAnsi="Calibri" w:cs="Calibri"/>
      <w:spacing w:val="0"/>
      <w:sz w:val="22"/>
      <w:szCs w:val="22"/>
    </w:rPr>
  </w:style>
  <w:style w:type="paragraph" w:styleId="List3">
    <w:name w:val="List 3"/>
    <w:basedOn w:val="Normal"/>
    <w:uiPriority w:val="49"/>
    <w:semiHidden/>
    <w:rsid w:val="005476DA"/>
    <w:pPr>
      <w:spacing w:before="100" w:line="240" w:lineRule="auto"/>
      <w:ind w:left="849" w:hanging="283"/>
    </w:pPr>
    <w:rPr>
      <w:rFonts w:ascii="Calibri" w:eastAsia="Times New Roman" w:hAnsi="Calibri" w:cs="Calibri"/>
      <w:spacing w:val="0"/>
      <w:sz w:val="22"/>
      <w:szCs w:val="22"/>
    </w:rPr>
  </w:style>
  <w:style w:type="paragraph" w:styleId="List4">
    <w:name w:val="List 4"/>
    <w:basedOn w:val="Normal"/>
    <w:uiPriority w:val="49"/>
    <w:semiHidden/>
    <w:rsid w:val="005476DA"/>
    <w:pPr>
      <w:spacing w:before="100" w:line="240" w:lineRule="auto"/>
      <w:ind w:left="1132" w:hanging="283"/>
    </w:pPr>
    <w:rPr>
      <w:rFonts w:ascii="Calibri" w:eastAsia="Times New Roman" w:hAnsi="Calibri" w:cs="Calibri"/>
      <w:spacing w:val="0"/>
      <w:sz w:val="22"/>
      <w:szCs w:val="22"/>
    </w:rPr>
  </w:style>
  <w:style w:type="paragraph" w:styleId="List5">
    <w:name w:val="List 5"/>
    <w:basedOn w:val="Normal"/>
    <w:uiPriority w:val="49"/>
    <w:semiHidden/>
    <w:rsid w:val="005476DA"/>
    <w:pPr>
      <w:spacing w:before="100" w:line="240" w:lineRule="auto"/>
      <w:ind w:left="1415" w:hanging="283"/>
    </w:pPr>
    <w:rPr>
      <w:rFonts w:ascii="Calibri" w:eastAsia="Times New Roman" w:hAnsi="Calibri" w:cs="Calibri"/>
      <w:spacing w:val="0"/>
      <w:sz w:val="22"/>
      <w:szCs w:val="22"/>
    </w:rPr>
  </w:style>
  <w:style w:type="paragraph" w:styleId="ListBullet">
    <w:name w:val="List Bullet"/>
    <w:basedOn w:val="Normal"/>
    <w:uiPriority w:val="99"/>
    <w:semiHidden/>
    <w:unhideWhenUsed/>
    <w:rsid w:val="005476DA"/>
    <w:pPr>
      <w:numPr>
        <w:numId w:val="7"/>
      </w:numPr>
      <w:spacing w:before="100" w:line="240" w:lineRule="auto"/>
      <w:contextualSpacing/>
    </w:pPr>
    <w:rPr>
      <w:rFonts w:ascii="Calibri" w:eastAsia="Times New Roman" w:hAnsi="Calibri" w:cs="Calibri"/>
      <w:spacing w:val="0"/>
      <w:sz w:val="22"/>
      <w:szCs w:val="22"/>
    </w:rPr>
  </w:style>
  <w:style w:type="paragraph" w:styleId="ListBullet2">
    <w:name w:val="List Bullet 2"/>
    <w:basedOn w:val="Normal"/>
    <w:uiPriority w:val="99"/>
    <w:semiHidden/>
    <w:rsid w:val="005476DA"/>
    <w:pPr>
      <w:numPr>
        <w:numId w:val="8"/>
      </w:numPr>
      <w:spacing w:before="100" w:line="240" w:lineRule="auto"/>
      <w:contextualSpacing/>
    </w:pPr>
    <w:rPr>
      <w:rFonts w:ascii="Calibri" w:eastAsia="Times New Roman" w:hAnsi="Calibri" w:cs="Calibri"/>
      <w:spacing w:val="0"/>
      <w:sz w:val="22"/>
      <w:szCs w:val="22"/>
    </w:rPr>
  </w:style>
  <w:style w:type="paragraph" w:styleId="ListBullet3">
    <w:name w:val="List Bullet 3"/>
    <w:basedOn w:val="Normal"/>
    <w:uiPriority w:val="99"/>
    <w:semiHidden/>
    <w:rsid w:val="005476DA"/>
    <w:pPr>
      <w:numPr>
        <w:numId w:val="9"/>
      </w:numPr>
      <w:spacing w:before="100" w:line="240" w:lineRule="auto"/>
      <w:contextualSpacing/>
    </w:pPr>
    <w:rPr>
      <w:rFonts w:ascii="Calibri" w:eastAsia="Times New Roman" w:hAnsi="Calibri" w:cs="Calibri"/>
      <w:spacing w:val="0"/>
      <w:sz w:val="22"/>
      <w:szCs w:val="22"/>
    </w:rPr>
  </w:style>
  <w:style w:type="paragraph" w:styleId="ListBullet4">
    <w:name w:val="List Bullet 4"/>
    <w:basedOn w:val="Normal"/>
    <w:uiPriority w:val="49"/>
    <w:semiHidden/>
    <w:rsid w:val="005476DA"/>
    <w:pPr>
      <w:tabs>
        <w:tab w:val="num" w:pos="1209"/>
      </w:tabs>
      <w:spacing w:before="100" w:line="240" w:lineRule="auto"/>
      <w:ind w:left="1209" w:hanging="360"/>
    </w:pPr>
    <w:rPr>
      <w:rFonts w:ascii="Calibri" w:eastAsia="Times New Roman" w:hAnsi="Calibri" w:cs="Calibri"/>
      <w:spacing w:val="0"/>
      <w:sz w:val="22"/>
      <w:szCs w:val="22"/>
    </w:rPr>
  </w:style>
  <w:style w:type="paragraph" w:styleId="ListBullet5">
    <w:name w:val="List Bullet 5"/>
    <w:basedOn w:val="Normal"/>
    <w:uiPriority w:val="49"/>
    <w:semiHidden/>
    <w:rsid w:val="005476DA"/>
    <w:pPr>
      <w:tabs>
        <w:tab w:val="num" w:pos="1492"/>
      </w:tabs>
      <w:spacing w:before="100" w:line="240" w:lineRule="auto"/>
      <w:ind w:left="1492" w:hanging="360"/>
    </w:pPr>
    <w:rPr>
      <w:rFonts w:ascii="Calibri" w:eastAsia="Times New Roman" w:hAnsi="Calibri" w:cs="Calibri"/>
      <w:spacing w:val="0"/>
      <w:sz w:val="22"/>
      <w:szCs w:val="22"/>
    </w:rPr>
  </w:style>
  <w:style w:type="paragraph" w:customStyle="1" w:styleId="ListBulletBold">
    <w:name w:val="List Bullet Bold"/>
    <w:basedOn w:val="Normal"/>
    <w:next w:val="Normal"/>
    <w:uiPriority w:val="49"/>
    <w:semiHidden/>
    <w:rsid w:val="005476DA"/>
    <w:pPr>
      <w:spacing w:before="100" w:line="240" w:lineRule="auto"/>
      <w:ind w:left="794"/>
    </w:pPr>
    <w:rPr>
      <w:rFonts w:ascii="Calibri" w:eastAsia="Times New Roman" w:hAnsi="Calibri" w:cs="Calibri"/>
      <w:b/>
      <w:spacing w:val="0"/>
      <w:sz w:val="22"/>
      <w:szCs w:val="22"/>
    </w:rPr>
  </w:style>
  <w:style w:type="paragraph" w:styleId="ListContinue">
    <w:name w:val="List Continue"/>
    <w:basedOn w:val="Normal"/>
    <w:uiPriority w:val="8"/>
    <w:semiHidden/>
    <w:qFormat/>
    <w:rsid w:val="005476DA"/>
    <w:pPr>
      <w:spacing w:before="0" w:after="0" w:line="240" w:lineRule="auto"/>
      <w:ind w:left="1077"/>
    </w:pPr>
    <w:rPr>
      <w:rFonts w:ascii="Calibri" w:eastAsia="Times New Roman" w:hAnsi="Calibri" w:cs="Calibri"/>
      <w:spacing w:val="0"/>
      <w:sz w:val="22"/>
      <w:szCs w:val="22"/>
    </w:rPr>
  </w:style>
  <w:style w:type="paragraph" w:styleId="ListContinue2">
    <w:name w:val="List Continue 2"/>
    <w:basedOn w:val="Normal"/>
    <w:uiPriority w:val="8"/>
    <w:semiHidden/>
    <w:rsid w:val="005476DA"/>
    <w:pPr>
      <w:spacing w:before="0" w:after="0" w:line="240" w:lineRule="auto"/>
      <w:ind w:left="1361"/>
    </w:pPr>
    <w:rPr>
      <w:rFonts w:ascii="Calibri" w:eastAsia="Times New Roman" w:hAnsi="Calibri" w:cs="Calibri"/>
      <w:spacing w:val="0"/>
      <w:sz w:val="22"/>
      <w:szCs w:val="22"/>
    </w:rPr>
  </w:style>
  <w:style w:type="paragraph" w:styleId="ListContinue3">
    <w:name w:val="List Continue 3"/>
    <w:basedOn w:val="Normal"/>
    <w:uiPriority w:val="8"/>
    <w:semiHidden/>
    <w:rsid w:val="005476DA"/>
    <w:pPr>
      <w:spacing w:before="0" w:after="0" w:line="240" w:lineRule="auto"/>
      <w:ind w:left="1644"/>
    </w:pPr>
    <w:rPr>
      <w:rFonts w:ascii="Calibri" w:eastAsia="Times New Roman" w:hAnsi="Calibri" w:cs="Calibri"/>
      <w:spacing w:val="0"/>
      <w:sz w:val="22"/>
      <w:szCs w:val="22"/>
    </w:rPr>
  </w:style>
  <w:style w:type="paragraph" w:styleId="ListContinue4">
    <w:name w:val="List Continue 4"/>
    <w:basedOn w:val="Normal"/>
    <w:uiPriority w:val="49"/>
    <w:semiHidden/>
    <w:rsid w:val="005476DA"/>
    <w:pPr>
      <w:spacing w:before="100" w:after="120" w:line="240" w:lineRule="auto"/>
      <w:ind w:left="1132"/>
    </w:pPr>
    <w:rPr>
      <w:rFonts w:ascii="Calibri" w:eastAsia="Times New Roman" w:hAnsi="Calibri" w:cs="Calibri"/>
      <w:spacing w:val="0"/>
      <w:sz w:val="22"/>
      <w:szCs w:val="22"/>
    </w:rPr>
  </w:style>
  <w:style w:type="paragraph" w:styleId="ListContinue5">
    <w:name w:val="List Continue 5"/>
    <w:basedOn w:val="Normal"/>
    <w:uiPriority w:val="49"/>
    <w:semiHidden/>
    <w:rsid w:val="005476DA"/>
    <w:pPr>
      <w:spacing w:before="100" w:after="120" w:line="240" w:lineRule="auto"/>
      <w:ind w:left="1415"/>
    </w:pPr>
    <w:rPr>
      <w:rFonts w:ascii="Calibri" w:eastAsia="Times New Roman" w:hAnsi="Calibri" w:cs="Calibri"/>
      <w:spacing w:val="0"/>
      <w:sz w:val="22"/>
      <w:szCs w:val="22"/>
    </w:rPr>
  </w:style>
  <w:style w:type="paragraph" w:styleId="ListNumber">
    <w:name w:val="List Number"/>
    <w:basedOn w:val="Normal"/>
    <w:uiPriority w:val="7"/>
    <w:semiHidden/>
    <w:qFormat/>
    <w:rsid w:val="005476DA"/>
    <w:pPr>
      <w:numPr>
        <w:numId w:val="10"/>
      </w:numPr>
      <w:spacing w:before="100" w:line="240" w:lineRule="auto"/>
      <w:contextualSpacing/>
    </w:pPr>
    <w:rPr>
      <w:rFonts w:ascii="Calibri" w:eastAsia="Times New Roman" w:hAnsi="Calibri" w:cs="Calibri"/>
      <w:spacing w:val="0"/>
      <w:sz w:val="22"/>
      <w:szCs w:val="22"/>
    </w:rPr>
  </w:style>
  <w:style w:type="paragraph" w:styleId="ListNumber2">
    <w:name w:val="List Number 2"/>
    <w:basedOn w:val="Normal"/>
    <w:uiPriority w:val="7"/>
    <w:semiHidden/>
    <w:rsid w:val="005476DA"/>
    <w:pPr>
      <w:numPr>
        <w:ilvl w:val="1"/>
        <w:numId w:val="10"/>
      </w:numPr>
      <w:spacing w:before="100" w:line="240" w:lineRule="auto"/>
      <w:contextualSpacing/>
    </w:pPr>
    <w:rPr>
      <w:rFonts w:ascii="Calibri" w:eastAsia="Times New Roman" w:hAnsi="Calibri" w:cs="Calibri"/>
      <w:spacing w:val="0"/>
      <w:sz w:val="22"/>
      <w:szCs w:val="22"/>
    </w:rPr>
  </w:style>
  <w:style w:type="paragraph" w:styleId="ListNumber3">
    <w:name w:val="List Number 3"/>
    <w:basedOn w:val="Normal"/>
    <w:uiPriority w:val="7"/>
    <w:semiHidden/>
    <w:rsid w:val="005476DA"/>
    <w:pPr>
      <w:numPr>
        <w:ilvl w:val="2"/>
        <w:numId w:val="10"/>
      </w:numPr>
      <w:spacing w:before="100" w:line="240" w:lineRule="auto"/>
      <w:contextualSpacing/>
    </w:pPr>
    <w:rPr>
      <w:rFonts w:ascii="Calibri" w:eastAsia="Times New Roman" w:hAnsi="Calibri" w:cs="Calibri"/>
      <w:spacing w:val="0"/>
      <w:sz w:val="22"/>
      <w:szCs w:val="22"/>
    </w:rPr>
  </w:style>
  <w:style w:type="paragraph" w:styleId="ListNumber4">
    <w:name w:val="List Number 4"/>
    <w:basedOn w:val="Normal"/>
    <w:uiPriority w:val="49"/>
    <w:semiHidden/>
    <w:rsid w:val="005476DA"/>
    <w:pPr>
      <w:tabs>
        <w:tab w:val="num" w:pos="1209"/>
      </w:tabs>
      <w:spacing w:before="100" w:line="240" w:lineRule="auto"/>
      <w:ind w:left="1209" w:hanging="360"/>
    </w:pPr>
    <w:rPr>
      <w:rFonts w:ascii="Calibri" w:eastAsia="Times New Roman" w:hAnsi="Calibri" w:cs="Calibri"/>
      <w:spacing w:val="0"/>
      <w:sz w:val="22"/>
      <w:szCs w:val="22"/>
    </w:rPr>
  </w:style>
  <w:style w:type="paragraph" w:styleId="ListNumber5">
    <w:name w:val="List Number 5"/>
    <w:basedOn w:val="Normal"/>
    <w:uiPriority w:val="49"/>
    <w:semiHidden/>
    <w:rsid w:val="005476DA"/>
    <w:pPr>
      <w:tabs>
        <w:tab w:val="num" w:pos="1492"/>
      </w:tabs>
      <w:spacing w:before="100" w:line="240" w:lineRule="auto"/>
      <w:ind w:left="1492" w:hanging="360"/>
    </w:pPr>
    <w:rPr>
      <w:rFonts w:ascii="Calibri" w:eastAsia="Times New Roman" w:hAnsi="Calibri" w:cs="Calibri"/>
      <w:spacing w:val="0"/>
      <w:sz w:val="22"/>
      <w:szCs w:val="22"/>
    </w:rPr>
  </w:style>
  <w:style w:type="paragraph" w:styleId="MacroText">
    <w:name w:val="macro"/>
    <w:link w:val="MacroTextChar"/>
    <w:uiPriority w:val="49"/>
    <w:semiHidden/>
    <w:rsid w:val="005476DA"/>
    <w:pPr>
      <w:spacing w:after="0" w:line="240" w:lineRule="auto"/>
    </w:pPr>
    <w:rPr>
      <w:rFonts w:ascii="Calibri" w:eastAsia="Times New Roman" w:hAnsi="Calibri" w:cs="Calibri"/>
      <w:sz w:val="22"/>
      <w:szCs w:val="22"/>
    </w:rPr>
  </w:style>
  <w:style w:type="character" w:customStyle="1" w:styleId="MacroTextChar">
    <w:name w:val="Macro Text Char"/>
    <w:basedOn w:val="DefaultParagraphFont"/>
    <w:link w:val="MacroText"/>
    <w:uiPriority w:val="49"/>
    <w:semiHidden/>
    <w:rsid w:val="005476DA"/>
    <w:rPr>
      <w:rFonts w:ascii="Calibri" w:eastAsia="Times New Roman" w:hAnsi="Calibri" w:cs="Calibri"/>
      <w:sz w:val="22"/>
      <w:szCs w:val="22"/>
    </w:rPr>
  </w:style>
  <w:style w:type="table" w:styleId="MediumGrid1">
    <w:name w:val="Medium Grid 1"/>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5476DA"/>
    <w:pPr>
      <w:pBdr>
        <w:top w:val="single" w:sz="6" w:space="1" w:color="auto"/>
        <w:left w:val="single" w:sz="6" w:space="1" w:color="auto"/>
        <w:bottom w:val="single" w:sz="6" w:space="1" w:color="auto"/>
        <w:right w:val="single" w:sz="6" w:space="1" w:color="auto"/>
      </w:pBdr>
      <w:shd w:val="pct20" w:color="auto" w:fill="auto"/>
      <w:spacing w:before="100" w:line="240" w:lineRule="auto"/>
      <w:ind w:left="1134" w:hanging="1134"/>
    </w:pPr>
    <w:rPr>
      <w:rFonts w:ascii="Calibri" w:eastAsia="Times New Roman" w:hAnsi="Calibri" w:cs="Calibri"/>
      <w:spacing w:val="0"/>
      <w:sz w:val="24"/>
      <w:szCs w:val="24"/>
    </w:rPr>
  </w:style>
  <w:style w:type="character" w:customStyle="1" w:styleId="MessageHeaderChar">
    <w:name w:val="Message Header Char"/>
    <w:basedOn w:val="DefaultParagraphFont"/>
    <w:link w:val="MessageHeader"/>
    <w:uiPriority w:val="49"/>
    <w:semiHidden/>
    <w:rsid w:val="005476DA"/>
    <w:rPr>
      <w:rFonts w:ascii="Calibri" w:eastAsia="Times New Roman" w:hAnsi="Calibri" w:cs="Calibri"/>
      <w:sz w:val="24"/>
      <w:szCs w:val="24"/>
      <w:shd w:val="pct20" w:color="auto" w:fill="auto"/>
    </w:rPr>
  </w:style>
  <w:style w:type="character" w:styleId="PlaceholderText">
    <w:name w:val="Placeholder Text"/>
    <w:basedOn w:val="DefaultParagraphFont"/>
    <w:uiPriority w:val="99"/>
    <w:semiHidden/>
    <w:rsid w:val="000B672C"/>
    <w:rPr>
      <w:color w:val="808080"/>
    </w:rPr>
  </w:style>
  <w:style w:type="paragraph" w:styleId="PlainText">
    <w:name w:val="Plain Text"/>
    <w:basedOn w:val="Normal"/>
    <w:link w:val="PlainText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PlainTextChar">
    <w:name w:val="Plain Text Char"/>
    <w:basedOn w:val="DefaultParagraphFont"/>
    <w:link w:val="PlainText"/>
    <w:uiPriority w:val="49"/>
    <w:semiHidden/>
    <w:rsid w:val="005476DA"/>
    <w:rPr>
      <w:rFonts w:ascii="Calibri" w:eastAsia="Times New Roman" w:hAnsi="Calibri" w:cs="Calibri"/>
      <w:sz w:val="22"/>
      <w:szCs w:val="22"/>
    </w:rPr>
  </w:style>
  <w:style w:type="paragraph" w:customStyle="1" w:styleId="Quotation">
    <w:name w:val="Quotation"/>
    <w:basedOn w:val="Normal"/>
    <w:next w:val="Normal"/>
    <w:uiPriority w:val="49"/>
    <w:semiHidden/>
    <w:rsid w:val="005476DA"/>
    <w:pPr>
      <w:keepLines/>
      <w:spacing w:before="40" w:line="240" w:lineRule="auto"/>
      <w:ind w:left="794"/>
      <w:jc w:val="center"/>
    </w:pPr>
    <w:rPr>
      <w:rFonts w:ascii="Calibri" w:eastAsia="Times New Roman" w:hAnsi="Calibri" w:cs="Calibri"/>
      <w:i/>
      <w:iCs/>
      <w:color w:val="003399"/>
      <w:spacing w:val="0"/>
      <w:sz w:val="18"/>
      <w:szCs w:val="22"/>
      <w:lang w:eastAsia="en-US"/>
    </w:rPr>
  </w:style>
  <w:style w:type="paragraph" w:customStyle="1" w:styleId="QuoteName">
    <w:name w:val="Quote Name"/>
    <w:basedOn w:val="Normal"/>
    <w:uiPriority w:val="49"/>
    <w:semiHidden/>
    <w:rsid w:val="005476DA"/>
    <w:pPr>
      <w:spacing w:before="100" w:after="0" w:line="240" w:lineRule="auto"/>
      <w:ind w:left="902" w:right="822"/>
      <w:jc w:val="right"/>
    </w:pPr>
    <w:rPr>
      <w:rFonts w:ascii="Calibri" w:eastAsia="Times New Roman" w:hAnsi="Calibri" w:cs="Calibri"/>
      <w:caps/>
      <w:color w:val="800000"/>
      <w:spacing w:val="0"/>
      <w:sz w:val="16"/>
      <w:szCs w:val="22"/>
    </w:rPr>
  </w:style>
  <w:style w:type="paragraph" w:styleId="Salutation">
    <w:name w:val="Salutation"/>
    <w:basedOn w:val="Normal"/>
    <w:next w:val="Normal"/>
    <w:link w:val="Salutation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SalutationChar">
    <w:name w:val="Salutation Char"/>
    <w:basedOn w:val="DefaultParagraphFont"/>
    <w:link w:val="Salutation"/>
    <w:uiPriority w:val="49"/>
    <w:semiHidden/>
    <w:rsid w:val="005476DA"/>
    <w:rPr>
      <w:rFonts w:ascii="Calibri" w:eastAsia="Times New Roman" w:hAnsi="Calibri" w:cs="Calibri"/>
      <w:sz w:val="22"/>
      <w:szCs w:val="22"/>
    </w:rPr>
  </w:style>
  <w:style w:type="paragraph" w:styleId="Signature">
    <w:name w:val="Signature"/>
    <w:basedOn w:val="Normal"/>
    <w:link w:val="SignatureChar"/>
    <w:uiPriority w:val="49"/>
    <w:semiHidden/>
    <w:rsid w:val="005476DA"/>
    <w:pPr>
      <w:spacing w:before="100" w:line="240" w:lineRule="auto"/>
      <w:ind w:left="4252"/>
    </w:pPr>
    <w:rPr>
      <w:rFonts w:ascii="Calibri" w:eastAsia="Times New Roman" w:hAnsi="Calibri" w:cs="Calibri"/>
      <w:spacing w:val="0"/>
      <w:sz w:val="22"/>
      <w:szCs w:val="22"/>
    </w:rPr>
  </w:style>
  <w:style w:type="character" w:customStyle="1" w:styleId="SignatureChar">
    <w:name w:val="Signature Char"/>
    <w:basedOn w:val="DefaultParagraphFont"/>
    <w:link w:val="Signature"/>
    <w:uiPriority w:val="49"/>
    <w:semiHidden/>
    <w:rsid w:val="005476DA"/>
    <w:rPr>
      <w:rFonts w:ascii="Calibri" w:eastAsia="Times New Roman" w:hAnsi="Calibri" w:cs="Calibri"/>
      <w:sz w:val="22"/>
      <w:szCs w:val="22"/>
    </w:rPr>
  </w:style>
  <w:style w:type="table" w:styleId="Table3Deffects1">
    <w:name w:val="Table 3D effects 1"/>
    <w:basedOn w:val="TableNormal"/>
    <w:uiPriority w:val="99"/>
    <w:semiHidden/>
    <w:unhideWhenUsed/>
    <w:rsid w:val="005476DA"/>
    <w:pPr>
      <w:spacing w:before="80" w:after="80" w:line="240" w:lineRule="atLeast"/>
      <w:ind w:left="794"/>
    </w:pPr>
    <w:rPr>
      <w:rFonts w:ascii="Arial" w:eastAsia="Times New Roman" w:hAnsi="Arial"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Grid"/>
    <w:uiPriority w:val="99"/>
    <w:semiHidden/>
    <w:unhideWhenUsed/>
    <w:rsid w:val="005476DA"/>
    <w:pPr>
      <w:spacing w:before="0" w:after="120" w:line="280" w:lineRule="atLeast"/>
      <w:jc w:val="left"/>
    </w:pPr>
    <w:rPr>
      <w:rFonts w:ascii="Calibri" w:eastAsia="Times New Roman" w:hAnsi="Calibri" w:cs="Times New Roman"/>
      <w:spacing w:val="0"/>
      <w:sz w:val="20"/>
      <w:szCs w:val="20"/>
      <w:lang w:eastAsia="en-AU"/>
    </w:rPr>
    <w:tblPr>
      <w:tblStyleRowBandSize w:val="1"/>
      <w:tblInd w:w="907" w:type="dxa"/>
      <w:tblBorders>
        <w:top w:val="single" w:sz="12" w:space="0" w:color="000000"/>
        <w:bottom w:val="single" w:sz="1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blHeader/>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vAlign w:val="bottom"/>
      </w:tcPr>
    </w:tblStylePr>
    <w:tblStylePr w:type="lastRow">
      <w:rPr>
        <w:b/>
        <w:color w:val="auto"/>
      </w:rPr>
      <w:tblPr/>
      <w:tcPr>
        <w:tcBorders>
          <w:top w:val="single" w:sz="6" w:space="0" w:color="000000"/>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1Vert">
      <w:pPr>
        <w:jc w:val="right"/>
      </w:pPr>
    </w:tblStylePr>
    <w:tblStylePr w:type="band2Vert">
      <w:pPr>
        <w:jc w:val="right"/>
      </w:p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76DA"/>
    <w:pPr>
      <w:spacing w:before="80" w:after="80" w:line="240" w:lineRule="atLeast"/>
      <w:ind w:left="794"/>
    </w:pPr>
    <w:rPr>
      <w:rFonts w:ascii="Arial" w:eastAsia="Times New Roman" w:hAnsi="Arial"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76DA"/>
    <w:pPr>
      <w:spacing w:before="80" w:after="80" w:line="240" w:lineRule="atLeast"/>
      <w:ind w:left="794"/>
    </w:pPr>
    <w:rPr>
      <w:rFonts w:ascii="Arial" w:eastAsia="Times New Roman" w:hAnsi="Arial"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76DA"/>
    <w:pPr>
      <w:spacing w:before="80" w:after="80" w:line="240" w:lineRule="atLeast"/>
      <w:ind w:left="794"/>
    </w:pPr>
    <w:rPr>
      <w:rFonts w:ascii="Arial" w:eastAsia="Times New Roman" w:hAnsi="Arial"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76DA"/>
    <w:pPr>
      <w:spacing w:before="80" w:after="80" w:line="240" w:lineRule="atLeast"/>
      <w:ind w:left="794"/>
    </w:pPr>
    <w:rPr>
      <w:rFonts w:ascii="Arial" w:eastAsia="Times New Roman" w:hAnsi="Arial"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76DA"/>
    <w:pPr>
      <w:spacing w:before="80" w:after="80" w:line="240" w:lineRule="atLeast"/>
      <w:ind w:left="794"/>
    </w:pPr>
    <w:rPr>
      <w:rFonts w:ascii="Arial" w:eastAsia="Times New Roman" w:hAnsi="Arial"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76DA"/>
    <w:pPr>
      <w:spacing w:before="80" w:after="80" w:line="240" w:lineRule="atLeast"/>
      <w:ind w:left="794"/>
    </w:pPr>
    <w:rPr>
      <w:rFonts w:ascii="Arial" w:eastAsia="Times New Roman" w:hAnsi="Arial"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76DA"/>
    <w:pPr>
      <w:spacing w:before="80" w:after="80" w:line="240" w:lineRule="atLeast"/>
      <w:ind w:left="794"/>
    </w:pPr>
    <w:rPr>
      <w:rFonts w:ascii="Arial" w:eastAsia="Times New Roman" w:hAnsi="Arial"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76DA"/>
    <w:pPr>
      <w:spacing w:before="80" w:after="80" w:line="240" w:lineRule="atLeast"/>
      <w:ind w:left="794"/>
    </w:pPr>
    <w:rPr>
      <w:rFonts w:ascii="Arial" w:eastAsia="Times New Roman" w:hAnsi="Arial"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5476DA"/>
    <w:pPr>
      <w:spacing w:before="100" w:after="100"/>
      <w:ind w:left="794"/>
      <w:jc w:val="left"/>
    </w:pPr>
    <w:rPr>
      <w:rFonts w:ascii="Calibri" w:eastAsia="Times New Roman" w:hAnsi="Calibri" w:cs="Times New Roman"/>
      <w:spacing w:val="0"/>
      <w:sz w:val="20"/>
      <w:szCs w:val="20"/>
      <w:lang w:eastAsia="en-AU"/>
    </w:rPr>
    <w:tblPr>
      <w:tblStyleRowBandSize w:val="1"/>
      <w:tblInd w:w="907" w:type="dxa"/>
      <w:tblBorders>
        <w:top w:val="single" w:sz="2" w:space="0" w:color="000000"/>
        <w:bottom w:val="single" w:sz="2" w:space="0" w:color="000000"/>
        <w:insideH w:val="single" w:sz="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rPr>
        <w:tblHeader/>
      </w:trPr>
      <w:tcPr>
        <w:tcBorders>
          <w:top w:val="single" w:sz="2" w:space="0" w:color="auto"/>
          <w:left w:val="nil"/>
          <w:bottom w:val="single" w:sz="2" w:space="0" w:color="auto"/>
          <w:right w:val="nil"/>
          <w:insideH w:val="nil"/>
          <w:insideV w:val="nil"/>
          <w:tl2br w:val="nil"/>
          <w:tr2bl w:val="nil"/>
        </w:tcBorders>
        <w:shd w:val="clear" w:color="auto" w:fill="D9D9D9"/>
        <w:vAlign w:val="bottom"/>
      </w:tcPr>
    </w:tblStylePr>
    <w:tblStylePr w:type="lastRow">
      <w:rPr>
        <w:b/>
        <w:i w:val="0"/>
        <w:iCs/>
      </w:rPr>
      <w:tblPr/>
      <w:tcPr>
        <w:tcBorders>
          <w:top w:val="single" w:sz="6" w:space="0" w:color="0063A6" w:themeColor="accent1"/>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nwCell">
      <w:rPr>
        <w:b/>
      </w:rPr>
    </w:tblStylePr>
  </w:style>
  <w:style w:type="table" w:styleId="TableGrid2">
    <w:name w:val="Table Grid 2"/>
    <w:basedOn w:val="TableGrid"/>
    <w:uiPriority w:val="99"/>
    <w:unhideWhenUsed/>
    <w:rsid w:val="005476DA"/>
    <w:pPr>
      <w:spacing w:before="0" w:after="120" w:line="280" w:lineRule="atLeast"/>
      <w:jc w:val="left"/>
    </w:pPr>
    <w:rPr>
      <w:rFonts w:ascii="Calibri" w:eastAsia="Times New Roman" w:hAnsi="Calibri" w:cs="Times New Roman"/>
      <w:spacing w:val="0"/>
      <w:sz w:val="20"/>
      <w:szCs w:val="20"/>
      <w:lang w:eastAsia="en-AU"/>
    </w:rPr>
    <w:tblPr>
      <w:tblStyleRowBandSize w:val="1"/>
      <w:tblInd w:w="907" w:type="dxa"/>
      <w:tblBorders>
        <w:top w:val="single" w:sz="4" w:space="0" w:color="auto"/>
        <w:bottom w:val="single" w:sz="4" w:space="0" w:color="auto"/>
        <w:insideH w:val="single" w:sz="4" w:space="0" w:color="auto"/>
      </w:tblBorders>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rPr>
        <w:tblHeader/>
      </w:trPr>
      <w:tcPr>
        <w:tcBorders>
          <w:top w:val="single" w:sz="4" w:space="0" w:color="auto"/>
          <w:left w:val="nil"/>
          <w:bottom w:val="nil"/>
          <w:right w:val="nil"/>
          <w:insideH w:val="nil"/>
          <w:insideV w:val="nil"/>
          <w:tl2br w:val="nil"/>
          <w:tr2bl w:val="nil"/>
        </w:tcBorders>
        <w:shd w:val="clear" w:color="auto" w:fill="D9D9D9"/>
        <w:vAlign w:val="bottom"/>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pPr>
        <w:jc w:val="left"/>
      </w:pPr>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76DA"/>
    <w:pPr>
      <w:spacing w:before="80" w:after="80" w:line="240" w:lineRule="atLeast"/>
      <w:ind w:left="794"/>
    </w:pPr>
    <w:rPr>
      <w:rFonts w:ascii="Arial" w:eastAsia="Times New Roman" w:hAnsi="Arial"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76DA"/>
    <w:pPr>
      <w:spacing w:before="80" w:after="80" w:line="240" w:lineRule="atLeast"/>
      <w:ind w:left="794"/>
    </w:pPr>
    <w:rPr>
      <w:rFonts w:ascii="Arial" w:eastAsia="Times New Roman" w:hAnsi="Arial"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5476DA"/>
    <w:pPr>
      <w:tabs>
        <w:tab w:val="right" w:pos="9072"/>
      </w:tabs>
      <w:spacing w:before="100" w:line="240" w:lineRule="auto"/>
      <w:ind w:left="200" w:hanging="200"/>
    </w:pPr>
    <w:rPr>
      <w:rFonts w:ascii="Calibri" w:eastAsia="Times New Roman" w:hAnsi="Calibri" w:cs="Calibri"/>
      <w:spacing w:val="0"/>
      <w:sz w:val="22"/>
      <w:szCs w:val="22"/>
    </w:rPr>
  </w:style>
  <w:style w:type="paragraph" w:styleId="TableofFigures">
    <w:name w:val="table of figures"/>
    <w:basedOn w:val="TOCHeading"/>
    <w:next w:val="Normal"/>
    <w:uiPriority w:val="99"/>
    <w:semiHidden/>
    <w:unhideWhenUsed/>
    <w:rsid w:val="005476DA"/>
    <w:pPr>
      <w:keepLines w:val="0"/>
      <w:pageBreakBefore/>
      <w:spacing w:before="0" w:after="0" w:line="240" w:lineRule="auto"/>
    </w:pPr>
    <w:rPr>
      <w:rFonts w:ascii="Calibri" w:eastAsia="Times New Roman" w:hAnsi="Calibri" w:cs="Calibri"/>
      <w:b w:val="0"/>
      <w:bCs w:val="0"/>
      <w:color w:val="4C4C4C"/>
      <w:spacing w:val="0"/>
      <w:sz w:val="40"/>
      <w:szCs w:val="22"/>
    </w:rPr>
  </w:style>
  <w:style w:type="table" w:styleId="TableProfessional">
    <w:name w:val="Table Professional"/>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76DA"/>
    <w:pPr>
      <w:spacing w:before="80" w:after="80" w:line="240" w:lineRule="atLeast"/>
      <w:ind w:left="794"/>
    </w:pPr>
    <w:rPr>
      <w:rFonts w:ascii="Arial" w:eastAsia="Times New Roman" w:hAnsi="Arial"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76DA"/>
    <w:pPr>
      <w:spacing w:before="80" w:after="80" w:line="240" w:lineRule="atLeast"/>
      <w:ind w:left="794"/>
    </w:pPr>
    <w:rPr>
      <w:rFonts w:ascii="Arial" w:eastAsia="Times New Roman" w:hAnsi="Arial"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76DA"/>
    <w:pPr>
      <w:spacing w:before="80" w:after="80" w:line="240" w:lineRule="atLeast"/>
      <w:ind w:left="794"/>
    </w:pPr>
    <w:rPr>
      <w:rFonts w:ascii="Arial" w:eastAsia="Times New Roman" w:hAnsi="Arial"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76DA"/>
    <w:pPr>
      <w:spacing w:before="80" w:after="80" w:line="240" w:lineRule="atLeast"/>
      <w:ind w:left="794"/>
    </w:pPr>
    <w:rPr>
      <w:rFonts w:ascii="Arial" w:eastAsia="Times New Roman" w:hAnsi="Arial"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76DA"/>
    <w:pPr>
      <w:spacing w:before="80" w:after="80" w:line="240" w:lineRule="atLeast"/>
      <w:ind w:left="794"/>
    </w:pPr>
    <w:rPr>
      <w:rFonts w:ascii="Arial" w:eastAsia="Times New Roman" w:hAnsi="Arial"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5476DA"/>
    <w:pPr>
      <w:spacing w:before="120" w:line="240" w:lineRule="auto"/>
      <w:ind w:left="794"/>
    </w:pPr>
    <w:rPr>
      <w:rFonts w:ascii="Calibri" w:eastAsia="Times New Roman" w:hAnsi="Calibri" w:cs="Calibri"/>
      <w:b/>
      <w:bCs/>
      <w:spacing w:val="0"/>
      <w:sz w:val="24"/>
      <w:szCs w:val="24"/>
    </w:rPr>
  </w:style>
  <w:style w:type="paragraph" w:styleId="TOC7">
    <w:name w:val="toc 7"/>
    <w:basedOn w:val="Normal"/>
    <w:next w:val="Normal"/>
    <w:autoRedefine/>
    <w:uiPriority w:val="39"/>
    <w:rsid w:val="005476DA"/>
    <w:pPr>
      <w:spacing w:before="100" w:line="240" w:lineRule="auto"/>
      <w:ind w:left="1440"/>
    </w:pPr>
    <w:rPr>
      <w:rFonts w:ascii="Calibri" w:eastAsia="Times New Roman" w:hAnsi="Calibri" w:cs="Calibri"/>
      <w:spacing w:val="0"/>
      <w:sz w:val="22"/>
      <w:szCs w:val="22"/>
    </w:rPr>
  </w:style>
  <w:style w:type="paragraph" w:styleId="TOC8">
    <w:name w:val="toc 8"/>
    <w:basedOn w:val="Normal"/>
    <w:next w:val="Normal"/>
    <w:autoRedefine/>
    <w:uiPriority w:val="39"/>
    <w:rsid w:val="005476DA"/>
    <w:pPr>
      <w:spacing w:before="100" w:line="240" w:lineRule="auto"/>
      <w:ind w:left="1680"/>
    </w:pPr>
    <w:rPr>
      <w:rFonts w:ascii="Calibri" w:eastAsia="Times New Roman" w:hAnsi="Calibri" w:cs="Calibri"/>
      <w:spacing w:val="0"/>
      <w:sz w:val="22"/>
      <w:szCs w:val="22"/>
    </w:rPr>
  </w:style>
  <w:style w:type="paragraph" w:styleId="TOC9">
    <w:name w:val="toc 9"/>
    <w:basedOn w:val="Normal"/>
    <w:next w:val="Normal"/>
    <w:autoRedefine/>
    <w:uiPriority w:val="39"/>
    <w:rsid w:val="005476DA"/>
    <w:pPr>
      <w:spacing w:before="100" w:line="240" w:lineRule="auto"/>
      <w:ind w:left="2835" w:right="2835"/>
    </w:pPr>
    <w:rPr>
      <w:rFonts w:ascii="Calibri" w:eastAsia="Times New Roman" w:hAnsi="Calibri" w:cs="Calibri"/>
      <w:spacing w:val="0"/>
      <w:sz w:val="22"/>
      <w:szCs w:val="22"/>
    </w:rPr>
  </w:style>
  <w:style w:type="paragraph" w:styleId="Revision">
    <w:name w:val="Revision"/>
    <w:hidden/>
    <w:uiPriority w:val="99"/>
    <w:semiHidden/>
    <w:rsid w:val="005476DA"/>
    <w:pPr>
      <w:spacing w:after="0" w:line="240" w:lineRule="auto"/>
    </w:pPr>
    <w:rPr>
      <w:rFonts w:ascii="Calibri" w:eastAsia="Times New Roman" w:hAnsi="Calibri" w:cs="Calibri"/>
      <w:sz w:val="22"/>
      <w:szCs w:val="22"/>
    </w:rPr>
  </w:style>
  <w:style w:type="paragraph" w:styleId="NormalWeb">
    <w:name w:val="Normal (Web)"/>
    <w:basedOn w:val="Normal"/>
    <w:uiPriority w:val="99"/>
    <w:semiHidden/>
    <w:unhideWhenUsed/>
    <w:rsid w:val="005476DA"/>
    <w:pPr>
      <w:spacing w:before="100" w:beforeAutospacing="1" w:afterAutospacing="1" w:line="240" w:lineRule="auto"/>
    </w:pPr>
    <w:rPr>
      <w:rFonts w:ascii="Times New Roman" w:hAnsi="Times New Roman" w:cs="Times New Roman"/>
      <w:spacing w:val="0"/>
      <w:sz w:val="24"/>
      <w:szCs w:val="24"/>
    </w:rPr>
  </w:style>
  <w:style w:type="paragraph" w:customStyle="1" w:styleId="Normalhanging">
    <w:name w:val="Normal hanging"/>
    <w:basedOn w:val="NormalIndent"/>
    <w:qFormat/>
    <w:rsid w:val="001D07DE"/>
    <w:pPr>
      <w:ind w:left="1260" w:hanging="540"/>
    </w:pPr>
  </w:style>
  <w:style w:type="paragraph" w:styleId="ListParagraph">
    <w:name w:val="List Paragraph"/>
    <w:basedOn w:val="Normal"/>
    <w:uiPriority w:val="34"/>
    <w:qFormat/>
    <w:rsid w:val="000B672C"/>
    <w:pPr>
      <w:ind w:left="720"/>
      <w:contextualSpacing/>
    </w:pPr>
  </w:style>
  <w:style w:type="table" w:customStyle="1" w:styleId="DTFfinancialtable">
    <w:name w:val="DTF financial table"/>
    <w:basedOn w:val="TableGrid"/>
    <w:uiPriority w:val="99"/>
    <w:rsid w:val="000B672C"/>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0B672C"/>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0B672C"/>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oteNormalindent">
    <w:name w:val="Note Normal indent"/>
    <w:basedOn w:val="NoteNormal"/>
    <w:uiPriority w:val="9"/>
    <w:rsid w:val="000B672C"/>
    <w:pPr>
      <w:ind w:left="792"/>
    </w:pPr>
  </w:style>
  <w:style w:type="paragraph" w:customStyle="1" w:styleId="Tablenum1">
    <w:name w:val="Table num 1"/>
    <w:basedOn w:val="Normal"/>
    <w:uiPriority w:val="6"/>
    <w:rsid w:val="000B672C"/>
    <w:pPr>
      <w:numPr>
        <w:ilvl w:val="2"/>
        <w:numId w:val="2"/>
      </w:numPr>
      <w:spacing w:before="60" w:after="60"/>
    </w:pPr>
    <w:rPr>
      <w:sz w:val="17"/>
    </w:rPr>
  </w:style>
  <w:style w:type="paragraph" w:customStyle="1" w:styleId="Tablenum2">
    <w:name w:val="Table num 2"/>
    <w:basedOn w:val="Normal"/>
    <w:uiPriority w:val="6"/>
    <w:rsid w:val="000B672C"/>
    <w:pPr>
      <w:numPr>
        <w:ilvl w:val="3"/>
        <w:numId w:val="2"/>
      </w:numPr>
      <w:spacing w:before="60" w:after="60"/>
    </w:pPr>
    <w:rPr>
      <w:sz w:val="17"/>
    </w:rPr>
  </w:style>
  <w:style w:type="paragraph" w:customStyle="1" w:styleId="Tablechartdiagramheading">
    <w:name w:val="Table/chart/diagram heading"/>
    <w:uiPriority w:val="4"/>
    <w:qFormat/>
    <w:rsid w:val="000B672C"/>
    <w:pPr>
      <w:tabs>
        <w:tab w:val="left" w:pos="1080"/>
      </w:tabs>
      <w:spacing w:before="160" w:after="100"/>
    </w:pPr>
    <w:rPr>
      <w:b/>
      <w:bCs/>
      <w:color w:val="0063A6" w:themeColor="accent1"/>
      <w:spacing w:val="2"/>
      <w:sz w:val="18"/>
      <w:szCs w:val="18"/>
    </w:rPr>
  </w:style>
  <w:style w:type="table" w:customStyle="1" w:styleId="DTFtexttable1">
    <w:name w:val="DTF text table1"/>
    <w:basedOn w:val="TableGrid"/>
    <w:uiPriority w:val="99"/>
    <w:rsid w:val="00D174DC"/>
    <w:pPr>
      <w:spacing w:before="30" w:after="30" w:line="264" w:lineRule="auto"/>
      <w:jc w:val="left"/>
    </w:pPr>
    <w:tblPr>
      <w:tblStyleRowBandSize w:val="1"/>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Mandatory1">
    <w:name w:val="Mandatory1"/>
    <w:basedOn w:val="TableGrid"/>
    <w:uiPriority w:val="99"/>
    <w:rsid w:val="00D174DC"/>
    <w:pPr>
      <w:spacing w:before="30" w:after="30" w:line="264" w:lineRule="auto"/>
      <w:jc w:val="left"/>
    </w:pPr>
    <w:tblPr>
      <w:tblStyleRowBandSize w:val="1"/>
      <w:tblInd w:w="864" w:type="dxa"/>
      <w:tblBorders>
        <w:top w:val="single" w:sz="6" w:space="0" w:color="0063A6" w:themeColor="accent1"/>
        <w:left w:val="single" w:sz="6" w:space="0" w:color="0063A6" w:themeColor="accent1"/>
        <w:bottom w:val="single" w:sz="6" w:space="0" w:color="0063A6" w:themeColor="accent1"/>
        <w:right w:val="single" w:sz="6" w:space="0" w:color="0063A6" w:themeColor="accent1"/>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11">
    <w:name w:val="DTF text table11"/>
    <w:basedOn w:val="TableGrid"/>
    <w:uiPriority w:val="99"/>
    <w:rsid w:val="00FD7EE7"/>
    <w:pPr>
      <w:spacing w:before="30" w:after="30" w:line="264" w:lineRule="auto"/>
      <w:jc w:val="left"/>
    </w:pPr>
    <w:tblPr>
      <w:tblStyleRowBandSize w:val="1"/>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styleId="SubtleReference">
    <w:name w:val="Subtle Reference"/>
    <w:basedOn w:val="DefaultParagraphFont"/>
    <w:uiPriority w:val="31"/>
    <w:qFormat/>
    <w:rsid w:val="009A1BD1"/>
    <w:rPr>
      <w:smallCaps/>
      <w:color w:val="5A5A5A" w:themeColor="text1" w:themeTint="A5"/>
    </w:rPr>
  </w:style>
  <w:style w:type="paragraph" w:customStyle="1" w:styleId="Heading3indent">
    <w:name w:val="Heading 3 indent"/>
    <w:basedOn w:val="Heading3"/>
    <w:qFormat/>
    <w:rsid w:val="000B672C"/>
    <w:pPr>
      <w:ind w:left="792"/>
    </w:pPr>
  </w:style>
  <w:style w:type="paragraph" w:customStyle="1" w:styleId="Heading2indent">
    <w:name w:val="Heading 2 indent"/>
    <w:basedOn w:val="Heading2"/>
    <w:qFormat/>
    <w:rsid w:val="000B672C"/>
    <w:pPr>
      <w:ind w:left="79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3" w:unhideWhenUsed="0" w:qFormat="1"/>
    <w:lsdException w:name="heading 6" w:uiPriority="3" w:unhideWhenUsed="0" w:qFormat="1"/>
    <w:lsdException w:name="heading 7" w:uiPriority="3" w:qFormat="1"/>
    <w:lsdException w:name="heading 8" w:uiPriority="3" w:qFormat="1"/>
    <w:lsdException w:name="heading 9" w:uiPriority="3" w:qFormat="1"/>
    <w:lsdException w:name="index 1" w:semiHidden="0"/>
    <w:lsdException w:name="index 2" w:semiHidden="0"/>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9" w:qFormat="1"/>
    <w:lsdException w:name="annotation text" w:uiPriority="49"/>
    <w:lsdException w:name="header" w:semiHidden="0"/>
    <w:lsdException w:name="footer" w:semiHidden="0" w:uiPriority="24"/>
    <w:lsdException w:name="index heading" w:semiHidden="0"/>
    <w:lsdException w:name="caption" w:semiHidden="0" w:uiPriority="35" w:qFormat="1"/>
    <w:lsdException w:name="envelope address" w:uiPriority="49"/>
    <w:lsdException w:name="envelope return" w:uiPriority="49"/>
    <w:lsdException w:name="annotation reference" w:uiPriority="49"/>
    <w:lsdException w:name="line number" w:uiPriority="49"/>
    <w:lsdException w:name="page number" w:semiHidden="0"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unhideWhenUsed="0" w:qFormat="1"/>
    <w:lsdException w:name="List 2" w:uiPriority="49"/>
    <w:lsdException w:name="List 3" w:uiPriority="49"/>
    <w:lsdException w:name="List 4" w:uiPriority="49" w:unhideWhenUsed="0"/>
    <w:lsdException w:name="List 5" w:uiPriority="49" w:unhideWhenUsed="0"/>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nhideWhenUsed="0" w:qFormat="1"/>
    <w:lsdException w:name="Salutation" w:uiPriority="49" w:unhideWhenUsed="0"/>
    <w:lsdException w:name="Date" w:uiPriority="49" w:unhideWhenUsed="0"/>
    <w:lsdException w:name="Body Text First Indent" w:uiPriority="49" w:unhideWhenUsed="0"/>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Hyperlink" w:semiHidden="0"/>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0B672C"/>
    <w:pPr>
      <w:spacing w:before="160" w:after="100"/>
    </w:pPr>
    <w:rPr>
      <w:spacing w:val="2"/>
    </w:rPr>
  </w:style>
  <w:style w:type="paragraph" w:styleId="Heading1">
    <w:name w:val="heading 1"/>
    <w:next w:val="Normal"/>
    <w:link w:val="Heading1Char"/>
    <w:qFormat/>
    <w:rsid w:val="000B672C"/>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0B672C"/>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0B672C"/>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0B672C"/>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Indent"/>
    <w:next w:val="Normal"/>
    <w:link w:val="Heading5Char"/>
    <w:uiPriority w:val="3"/>
    <w:qFormat/>
    <w:rsid w:val="006926C1"/>
    <w:pPr>
      <w:keepNext/>
      <w:outlineLvl w:val="4"/>
    </w:pPr>
    <w:rPr>
      <w:b/>
      <w:color w:val="0063A6" w:themeColor="accent1"/>
    </w:rPr>
  </w:style>
  <w:style w:type="paragraph" w:styleId="Heading6">
    <w:name w:val="heading 6"/>
    <w:basedOn w:val="Normal"/>
    <w:next w:val="Normal"/>
    <w:link w:val="Heading6Char"/>
    <w:uiPriority w:val="3"/>
    <w:semiHidden/>
    <w:qFormat/>
    <w:rsid w:val="005476DA"/>
    <w:pPr>
      <w:keepNext/>
      <w:keepLines/>
      <w:spacing w:before="200" w:after="0"/>
      <w:outlineLvl w:val="5"/>
    </w:pPr>
    <w:rPr>
      <w:rFonts w:asciiTheme="majorHAnsi" w:eastAsiaTheme="majorEastAsia" w:hAnsiTheme="majorHAnsi" w:cstheme="majorBidi"/>
      <w:i/>
      <w:iCs/>
      <w:color w:val="003152" w:themeColor="accent1" w:themeShade="7F"/>
    </w:rPr>
  </w:style>
  <w:style w:type="paragraph" w:styleId="Heading7">
    <w:name w:val="heading 7"/>
    <w:basedOn w:val="Heading6"/>
    <w:next w:val="Normal"/>
    <w:link w:val="Heading7Char"/>
    <w:uiPriority w:val="3"/>
    <w:semiHidden/>
    <w:qFormat/>
    <w:rsid w:val="005476DA"/>
    <w:pPr>
      <w:widowControl w:val="0"/>
      <w:spacing w:before="160" w:after="120" w:line="228" w:lineRule="auto"/>
      <w:ind w:left="794"/>
      <w:outlineLvl w:val="6"/>
    </w:pPr>
    <w:rPr>
      <w:rFonts w:ascii="Calibri" w:eastAsia="Times New Roman" w:hAnsi="Calibri" w:cs="Calibri"/>
      <w:b/>
      <w:bCs/>
      <w:i w:val="0"/>
      <w:color w:val="404040"/>
      <w:spacing w:val="0"/>
      <w:sz w:val="22"/>
      <w:szCs w:val="22"/>
      <w:lang w:eastAsia="en-US"/>
    </w:rPr>
  </w:style>
  <w:style w:type="paragraph" w:styleId="Heading8">
    <w:name w:val="heading 8"/>
    <w:basedOn w:val="Heading7"/>
    <w:next w:val="Normal"/>
    <w:link w:val="Heading8Char"/>
    <w:uiPriority w:val="3"/>
    <w:semiHidden/>
    <w:qFormat/>
    <w:rsid w:val="005476DA"/>
    <w:pPr>
      <w:outlineLvl w:val="7"/>
    </w:pPr>
    <w:rPr>
      <w:b w:val="0"/>
    </w:rPr>
  </w:style>
  <w:style w:type="paragraph" w:styleId="Heading9">
    <w:name w:val="heading 9"/>
    <w:basedOn w:val="Heading8"/>
    <w:next w:val="Normal"/>
    <w:link w:val="Heading9Char"/>
    <w:uiPriority w:val="3"/>
    <w:semiHidden/>
    <w:qFormat/>
    <w:rsid w:val="005476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B67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B672C"/>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0B672C"/>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0B672C"/>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0B672C"/>
    <w:pPr>
      <w:tabs>
        <w:tab w:val="right" w:leader="dot" w:pos="9000"/>
      </w:tabs>
      <w:ind w:right="432"/>
    </w:pPr>
    <w:rPr>
      <w:sz w:val="24"/>
      <w:szCs w:val="24"/>
    </w:rPr>
  </w:style>
  <w:style w:type="paragraph" w:styleId="TOC2">
    <w:name w:val="toc 2"/>
    <w:next w:val="Normal"/>
    <w:uiPriority w:val="39"/>
    <w:rsid w:val="000B672C"/>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0B672C"/>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0B672C"/>
    <w:pPr>
      <w:spacing w:after="60" w:line="240" w:lineRule="auto"/>
    </w:pPr>
    <w:rPr>
      <w:sz w:val="16"/>
    </w:rPr>
  </w:style>
  <w:style w:type="paragraph" w:styleId="Index2">
    <w:name w:val="index 2"/>
    <w:basedOn w:val="Normal"/>
    <w:next w:val="Normal"/>
    <w:uiPriority w:val="99"/>
    <w:semiHidden/>
    <w:rsid w:val="000B672C"/>
    <w:pPr>
      <w:spacing w:after="0" w:line="240" w:lineRule="auto"/>
      <w:ind w:left="216"/>
    </w:pPr>
    <w:rPr>
      <w:sz w:val="16"/>
      <w:szCs w:val="16"/>
    </w:rPr>
  </w:style>
  <w:style w:type="character" w:styleId="Hyperlink">
    <w:name w:val="Hyperlink"/>
    <w:basedOn w:val="DefaultParagraphFont"/>
    <w:uiPriority w:val="99"/>
    <w:rsid w:val="000B672C"/>
    <w:rPr>
      <w:color w:val="53565A" w:themeColor="hyperlink"/>
      <w:u w:val="none"/>
    </w:rPr>
  </w:style>
  <w:style w:type="character" w:customStyle="1" w:styleId="Heading1Char">
    <w:name w:val="Heading 1 Char"/>
    <w:basedOn w:val="DefaultParagraphFont"/>
    <w:link w:val="Heading1"/>
    <w:rsid w:val="000B672C"/>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0B672C"/>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0B672C"/>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0B672C"/>
    <w:pPr>
      <w:numPr>
        <w:ilvl w:val="1"/>
      </w:numPr>
    </w:pPr>
  </w:style>
  <w:style w:type="paragraph" w:customStyle="1" w:styleId="Bulletindent">
    <w:name w:val="Bullet indent"/>
    <w:basedOn w:val="Bullet2"/>
    <w:uiPriority w:val="9"/>
    <w:qFormat/>
    <w:rsid w:val="000B672C"/>
    <w:pPr>
      <w:numPr>
        <w:ilvl w:val="2"/>
      </w:numPr>
    </w:pPr>
  </w:style>
  <w:style w:type="paragraph" w:customStyle="1" w:styleId="Heading1numbered">
    <w:name w:val="Heading 1 numbered"/>
    <w:basedOn w:val="Heading1"/>
    <w:next w:val="NormalIndent"/>
    <w:uiPriority w:val="8"/>
    <w:qFormat/>
    <w:rsid w:val="000B672C"/>
    <w:pPr>
      <w:numPr>
        <w:ilvl w:val="2"/>
        <w:numId w:val="22"/>
      </w:numPr>
      <w:ind w:left="794" w:hanging="794"/>
    </w:pPr>
  </w:style>
  <w:style w:type="paragraph" w:customStyle="1" w:styleId="Heading2numbered">
    <w:name w:val="Heading 2 numbered"/>
    <w:basedOn w:val="Heading2"/>
    <w:next w:val="NormalIndent"/>
    <w:uiPriority w:val="8"/>
    <w:qFormat/>
    <w:rsid w:val="000B672C"/>
    <w:pPr>
      <w:numPr>
        <w:ilvl w:val="3"/>
        <w:numId w:val="22"/>
      </w:numPr>
    </w:pPr>
  </w:style>
  <w:style w:type="paragraph" w:customStyle="1" w:styleId="Heading3numbered">
    <w:name w:val="Heading 3 numbered"/>
    <w:basedOn w:val="Heading3"/>
    <w:next w:val="NormalIndent"/>
    <w:uiPriority w:val="8"/>
    <w:qFormat/>
    <w:rsid w:val="000B672C"/>
    <w:pPr>
      <w:numPr>
        <w:ilvl w:val="4"/>
        <w:numId w:val="22"/>
      </w:numPr>
    </w:pPr>
  </w:style>
  <w:style w:type="character" w:customStyle="1" w:styleId="Heading3Char">
    <w:name w:val="Heading 3 Char"/>
    <w:basedOn w:val="DefaultParagraphFont"/>
    <w:link w:val="Heading3"/>
    <w:rsid w:val="000B672C"/>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0B672C"/>
    <w:pPr>
      <w:numPr>
        <w:ilvl w:val="5"/>
        <w:numId w:val="22"/>
      </w:numPr>
    </w:pPr>
  </w:style>
  <w:style w:type="character" w:customStyle="1" w:styleId="Heading4Char">
    <w:name w:val="Heading 4 Char"/>
    <w:basedOn w:val="DefaultParagraphFont"/>
    <w:link w:val="Heading4"/>
    <w:rsid w:val="000B672C"/>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0B672C"/>
    <w:pPr>
      <w:spacing w:line="252" w:lineRule="auto"/>
      <w:ind w:left="792"/>
    </w:pPr>
  </w:style>
  <w:style w:type="paragraph" w:customStyle="1" w:styleId="NoteNormal">
    <w:name w:val="Note Normal"/>
    <w:basedOn w:val="Normal"/>
    <w:rsid w:val="000B672C"/>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qFormat/>
    <w:rsid w:val="000B672C"/>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0B672C"/>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0B672C"/>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0B672C"/>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B672C"/>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B672C"/>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0B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72C"/>
    <w:rPr>
      <w:rFonts w:ascii="Tahoma" w:hAnsi="Tahoma" w:cs="Tahoma"/>
      <w:spacing w:val="2"/>
      <w:sz w:val="16"/>
      <w:szCs w:val="16"/>
    </w:rPr>
  </w:style>
  <w:style w:type="paragraph" w:customStyle="1" w:styleId="Bulletindent2">
    <w:name w:val="Bullet indent 2"/>
    <w:basedOn w:val="Normal"/>
    <w:uiPriority w:val="9"/>
    <w:qFormat/>
    <w:rsid w:val="000B672C"/>
    <w:pPr>
      <w:numPr>
        <w:ilvl w:val="3"/>
        <w:numId w:val="1"/>
      </w:numPr>
      <w:spacing w:before="100"/>
      <w:contextualSpacing/>
    </w:pPr>
  </w:style>
  <w:style w:type="paragraph" w:styleId="IndexHeading">
    <w:name w:val="index heading"/>
    <w:basedOn w:val="Normal"/>
    <w:next w:val="Index1"/>
    <w:uiPriority w:val="99"/>
    <w:semiHidden/>
    <w:rsid w:val="000B672C"/>
    <w:rPr>
      <w:rFonts w:asciiTheme="majorHAnsi" w:eastAsiaTheme="majorEastAsia" w:hAnsiTheme="majorHAnsi" w:cstheme="majorBidi"/>
      <w:b/>
      <w:bCs/>
    </w:rPr>
  </w:style>
  <w:style w:type="paragraph" w:styleId="Header">
    <w:name w:val="header"/>
    <w:basedOn w:val="Normal"/>
    <w:link w:val="HeaderChar"/>
    <w:uiPriority w:val="99"/>
    <w:rsid w:val="000B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72C"/>
    <w:rPr>
      <w:spacing w:val="2"/>
    </w:rPr>
  </w:style>
  <w:style w:type="paragraph" w:styleId="Footer">
    <w:name w:val="footer"/>
    <w:basedOn w:val="Normal"/>
    <w:link w:val="FooterChar"/>
    <w:uiPriority w:val="24"/>
    <w:rsid w:val="000B672C"/>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0B672C"/>
    <w:rPr>
      <w:noProof/>
      <w:spacing w:val="2"/>
      <w:sz w:val="18"/>
      <w:szCs w:val="18"/>
    </w:rPr>
  </w:style>
  <w:style w:type="character" w:styleId="PageNumber">
    <w:name w:val="page number"/>
    <w:uiPriority w:val="49"/>
    <w:semiHidden/>
    <w:rsid w:val="000B672C"/>
    <w:rPr>
      <w:rFonts w:asciiTheme="minorHAnsi" w:hAnsiTheme="minorHAnsi"/>
      <w:b w:val="0"/>
      <w:color w:val="000000" w:themeColor="text1"/>
    </w:rPr>
  </w:style>
  <w:style w:type="paragraph" w:styleId="TOCHeading">
    <w:name w:val="TOC Heading"/>
    <w:basedOn w:val="Heading1"/>
    <w:next w:val="Normal"/>
    <w:uiPriority w:val="39"/>
    <w:rsid w:val="000B672C"/>
    <w:pPr>
      <w:spacing w:before="480" w:after="720"/>
      <w:outlineLvl w:val="9"/>
    </w:pPr>
    <w:rPr>
      <w:spacing w:val="2"/>
    </w:rPr>
  </w:style>
  <w:style w:type="paragraph" w:customStyle="1" w:styleId="NormalTight">
    <w:name w:val="Normal Tight"/>
    <w:uiPriority w:val="99"/>
    <w:semiHidden/>
    <w:rsid w:val="000B672C"/>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0B672C"/>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B672C"/>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0B672C"/>
    <w:pPr>
      <w:spacing w:before="5800"/>
      <w:ind w:right="1382"/>
    </w:pPr>
  </w:style>
  <w:style w:type="paragraph" w:styleId="TOC4">
    <w:name w:val="toc 4"/>
    <w:basedOn w:val="TOC1"/>
    <w:next w:val="Normal"/>
    <w:uiPriority w:val="39"/>
    <w:rsid w:val="000B672C"/>
    <w:pPr>
      <w:ind w:left="450" w:hanging="450"/>
    </w:pPr>
    <w:rPr>
      <w:noProof/>
      <w:lang w:eastAsia="en-US"/>
    </w:rPr>
  </w:style>
  <w:style w:type="paragraph" w:styleId="TOC5">
    <w:name w:val="toc 5"/>
    <w:basedOn w:val="TOC2"/>
    <w:next w:val="Normal"/>
    <w:uiPriority w:val="39"/>
    <w:rsid w:val="000B672C"/>
    <w:pPr>
      <w:ind w:left="1080" w:hanging="634"/>
    </w:pPr>
    <w:rPr>
      <w:lang w:eastAsia="en-US"/>
    </w:rPr>
  </w:style>
  <w:style w:type="paragraph" w:styleId="TOC6">
    <w:name w:val="toc 6"/>
    <w:basedOn w:val="TOC3"/>
    <w:next w:val="Normal"/>
    <w:uiPriority w:val="39"/>
    <w:rsid w:val="000B672C"/>
    <w:pPr>
      <w:ind w:left="1800" w:hanging="720"/>
    </w:pPr>
    <w:rPr>
      <w:lang w:eastAsia="en-US"/>
    </w:rPr>
  </w:style>
  <w:style w:type="table" w:customStyle="1" w:styleId="DTFtexttable">
    <w:name w:val="DTF text table"/>
    <w:basedOn w:val="TableGrid"/>
    <w:uiPriority w:val="99"/>
    <w:rsid w:val="000B672C"/>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Mandatory">
    <w:name w:val="Mandatory"/>
    <w:basedOn w:val="TableGrid"/>
    <w:uiPriority w:val="99"/>
    <w:rsid w:val="00B46F3E"/>
    <w:pPr>
      <w:spacing w:before="30" w:after="30" w:line="264" w:lineRule="auto"/>
      <w:jc w:val="left"/>
    </w:pPr>
    <w:tblPr>
      <w:tblStyleRowBandSize w:val="1"/>
      <w:tblInd w:w="864" w:type="dxa"/>
      <w:tblBorders>
        <w:top w:val="single" w:sz="6" w:space="0" w:color="0063A6" w:themeColor="accent1"/>
        <w:left w:val="single" w:sz="6" w:space="0" w:color="0063A6" w:themeColor="accent1"/>
        <w:bottom w:val="single" w:sz="6" w:space="0" w:color="0063A6" w:themeColor="accent1"/>
        <w:right w:val="single" w:sz="6" w:space="0" w:color="0063A6" w:themeColor="accent1"/>
      </w:tblBorders>
    </w:tblPr>
    <w:tblStylePr w:type="firstRow">
      <w:pPr>
        <w:keepNext/>
        <w:keepLines/>
        <w:widowControl/>
        <w:wordWrap/>
        <w:spacing w:beforeLines="0" w:before="120" w:beforeAutospacing="0" w:afterLines="0" w:after="30" w:afterAutospacing="0"/>
        <w:jc w:val="center"/>
      </w:pPr>
      <w:rPr>
        <w:b/>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0B672C"/>
    <w:pPr>
      <w:spacing w:before="60" w:after="60" w:line="264" w:lineRule="auto"/>
    </w:pPr>
    <w:rPr>
      <w:sz w:val="17"/>
    </w:rPr>
  </w:style>
  <w:style w:type="paragraph" w:customStyle="1" w:styleId="Tabletextright">
    <w:name w:val="Table text right"/>
    <w:basedOn w:val="Tabletext"/>
    <w:uiPriority w:val="5"/>
    <w:qFormat/>
    <w:rsid w:val="000B672C"/>
    <w:pPr>
      <w:jc w:val="right"/>
    </w:pPr>
  </w:style>
  <w:style w:type="paragraph" w:customStyle="1" w:styleId="Listnumindent2">
    <w:name w:val="List num indent 2"/>
    <w:basedOn w:val="Normal"/>
    <w:uiPriority w:val="9"/>
    <w:qFormat/>
    <w:rsid w:val="000B672C"/>
    <w:pPr>
      <w:numPr>
        <w:ilvl w:val="7"/>
        <w:numId w:val="22"/>
      </w:numPr>
      <w:spacing w:before="100"/>
      <w:contextualSpacing/>
    </w:pPr>
  </w:style>
  <w:style w:type="paragraph" w:customStyle="1" w:styleId="Listnumindent">
    <w:name w:val="List num indent"/>
    <w:basedOn w:val="Normal"/>
    <w:uiPriority w:val="9"/>
    <w:qFormat/>
    <w:rsid w:val="000B672C"/>
    <w:pPr>
      <w:numPr>
        <w:ilvl w:val="6"/>
        <w:numId w:val="22"/>
      </w:numPr>
      <w:spacing w:before="100"/>
    </w:pPr>
  </w:style>
  <w:style w:type="paragraph" w:customStyle="1" w:styleId="Listnum">
    <w:name w:val="List num"/>
    <w:basedOn w:val="Normal"/>
    <w:uiPriority w:val="2"/>
    <w:qFormat/>
    <w:rsid w:val="000B672C"/>
    <w:pPr>
      <w:numPr>
        <w:numId w:val="22"/>
      </w:numPr>
    </w:pPr>
  </w:style>
  <w:style w:type="paragraph" w:customStyle="1" w:styleId="Listnum2">
    <w:name w:val="List num 2"/>
    <w:basedOn w:val="Normal"/>
    <w:uiPriority w:val="2"/>
    <w:qFormat/>
    <w:rsid w:val="000B672C"/>
    <w:pPr>
      <w:numPr>
        <w:ilvl w:val="1"/>
        <w:numId w:val="22"/>
      </w:numPr>
    </w:pPr>
  </w:style>
  <w:style w:type="paragraph" w:customStyle="1" w:styleId="Tabletextcentred">
    <w:name w:val="Table text centred"/>
    <w:basedOn w:val="Tabletext"/>
    <w:uiPriority w:val="5"/>
    <w:qFormat/>
    <w:rsid w:val="000B672C"/>
    <w:pPr>
      <w:jc w:val="center"/>
    </w:pPr>
  </w:style>
  <w:style w:type="paragraph" w:customStyle="1" w:styleId="Tableheader">
    <w:name w:val="Table header"/>
    <w:basedOn w:val="Tabletext"/>
    <w:uiPriority w:val="5"/>
    <w:qFormat/>
    <w:rsid w:val="000B672C"/>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0B672C"/>
    <w:pPr>
      <w:numPr>
        <w:numId w:val="2"/>
      </w:numPr>
    </w:pPr>
  </w:style>
  <w:style w:type="paragraph" w:customStyle="1" w:styleId="Tabledash">
    <w:name w:val="Table dash"/>
    <w:basedOn w:val="Tablebullet"/>
    <w:uiPriority w:val="6"/>
    <w:rsid w:val="000B672C"/>
    <w:pPr>
      <w:numPr>
        <w:ilvl w:val="1"/>
      </w:numPr>
    </w:pPr>
  </w:style>
  <w:style w:type="paragraph" w:customStyle="1" w:styleId="Tabletextindent">
    <w:name w:val="Table text indent"/>
    <w:basedOn w:val="Tabletext"/>
    <w:uiPriority w:val="5"/>
    <w:qFormat/>
    <w:rsid w:val="000B672C"/>
    <w:pPr>
      <w:ind w:left="288"/>
    </w:pPr>
  </w:style>
  <w:style w:type="paragraph" w:customStyle="1" w:styleId="Numparaindent">
    <w:name w:val="Num para indent"/>
    <w:basedOn w:val="Numpara"/>
    <w:uiPriority w:val="9"/>
    <w:qFormat/>
    <w:rsid w:val="000B672C"/>
    <w:pPr>
      <w:numPr>
        <w:ilvl w:val="8"/>
        <w:numId w:val="22"/>
      </w:numPr>
      <w:tabs>
        <w:tab w:val="clear" w:pos="540"/>
      </w:tabs>
    </w:pPr>
  </w:style>
  <w:style w:type="paragraph" w:customStyle="1" w:styleId="Numpara">
    <w:name w:val="Num para"/>
    <w:basedOn w:val="ListParagraph"/>
    <w:uiPriority w:val="2"/>
    <w:qFormat/>
    <w:rsid w:val="000B672C"/>
    <w:pPr>
      <w:numPr>
        <w:numId w:val="3"/>
      </w:numPr>
      <w:tabs>
        <w:tab w:val="left" w:pos="540"/>
      </w:tabs>
      <w:ind w:left="504" w:hanging="504"/>
    </w:pPr>
  </w:style>
  <w:style w:type="character" w:styleId="FootnoteReference">
    <w:name w:val="footnote reference"/>
    <w:basedOn w:val="DefaultParagraphFont"/>
    <w:uiPriority w:val="99"/>
    <w:rsid w:val="000B672C"/>
    <w:rPr>
      <w:vertAlign w:val="superscript"/>
    </w:rPr>
  </w:style>
  <w:style w:type="paragraph" w:styleId="FootnoteText">
    <w:name w:val="footnote text"/>
    <w:basedOn w:val="Normal"/>
    <w:link w:val="FootnoteTextChar"/>
    <w:uiPriority w:val="99"/>
    <w:semiHidden/>
    <w:rsid w:val="000B672C"/>
    <w:pPr>
      <w:spacing w:before="0" w:after="0" w:line="240" w:lineRule="auto"/>
    </w:pPr>
    <w:rPr>
      <w:sz w:val="17"/>
    </w:rPr>
  </w:style>
  <w:style w:type="character" w:customStyle="1" w:styleId="FootnoteTextChar">
    <w:name w:val="Footnote Text Char"/>
    <w:basedOn w:val="DefaultParagraphFont"/>
    <w:link w:val="FootnoteText"/>
    <w:uiPriority w:val="99"/>
    <w:semiHidden/>
    <w:rsid w:val="000B672C"/>
    <w:rPr>
      <w:spacing w:val="2"/>
      <w:sz w:val="17"/>
    </w:rPr>
  </w:style>
  <w:style w:type="paragraph" w:styleId="Caption">
    <w:name w:val="caption"/>
    <w:basedOn w:val="Normal"/>
    <w:next w:val="Normal"/>
    <w:uiPriority w:val="35"/>
    <w:rsid w:val="000B672C"/>
    <w:pPr>
      <w:spacing w:before="0" w:after="200" w:line="240" w:lineRule="auto"/>
    </w:pPr>
    <w:rPr>
      <w:b/>
      <w:bCs/>
      <w:color w:val="383834" w:themeColor="background2" w:themeShade="40"/>
      <w:sz w:val="18"/>
      <w:szCs w:val="18"/>
    </w:rPr>
  </w:style>
  <w:style w:type="character" w:styleId="CommentReference">
    <w:name w:val="annotation reference"/>
    <w:uiPriority w:val="49"/>
    <w:semiHidden/>
    <w:rsid w:val="005476DA"/>
    <w:rPr>
      <w:rFonts w:ascii="Calibri" w:hAnsi="Calibri"/>
      <w:sz w:val="16"/>
    </w:rPr>
  </w:style>
  <w:style w:type="paragraph" w:styleId="CommentText">
    <w:name w:val="annotation text"/>
    <w:basedOn w:val="Normal"/>
    <w:link w:val="CommentText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CommentTextChar">
    <w:name w:val="Comment Text Char"/>
    <w:basedOn w:val="DefaultParagraphFont"/>
    <w:link w:val="CommentText"/>
    <w:uiPriority w:val="49"/>
    <w:semiHidden/>
    <w:rsid w:val="005476DA"/>
    <w:rPr>
      <w:rFonts w:ascii="Calibri" w:eastAsia="Times New Roman" w:hAnsi="Calibri" w:cs="Calibri"/>
      <w:sz w:val="22"/>
      <w:szCs w:val="22"/>
    </w:rPr>
  </w:style>
  <w:style w:type="paragraph" w:customStyle="1" w:styleId="Heading4indent">
    <w:name w:val="Heading 4 indent"/>
    <w:basedOn w:val="Heading4"/>
    <w:uiPriority w:val="4"/>
    <w:qFormat/>
    <w:rsid w:val="00241517"/>
    <w:pPr>
      <w:ind w:left="792"/>
    </w:pPr>
    <w:rPr>
      <w:sz w:val="21"/>
    </w:rPr>
  </w:style>
  <w:style w:type="character" w:customStyle="1" w:styleId="Heading6Char">
    <w:name w:val="Heading 6 Char"/>
    <w:basedOn w:val="DefaultParagraphFont"/>
    <w:link w:val="Heading6"/>
    <w:uiPriority w:val="3"/>
    <w:semiHidden/>
    <w:rsid w:val="005476DA"/>
    <w:rPr>
      <w:rFonts w:asciiTheme="majorHAnsi" w:eastAsiaTheme="majorEastAsia" w:hAnsiTheme="majorHAnsi" w:cstheme="majorBidi"/>
      <w:i/>
      <w:iCs/>
      <w:color w:val="003152" w:themeColor="accent1" w:themeShade="7F"/>
      <w:spacing w:val="2"/>
    </w:rPr>
  </w:style>
  <w:style w:type="character" w:customStyle="1" w:styleId="Heading7Char">
    <w:name w:val="Heading 7 Char"/>
    <w:basedOn w:val="DefaultParagraphFont"/>
    <w:link w:val="Heading7"/>
    <w:uiPriority w:val="3"/>
    <w:semiHidden/>
    <w:rsid w:val="005476DA"/>
    <w:rPr>
      <w:rFonts w:ascii="Calibri" w:eastAsia="Times New Roman" w:hAnsi="Calibri" w:cs="Calibri"/>
      <w:b/>
      <w:bCs/>
      <w:iCs/>
      <w:color w:val="404040"/>
      <w:sz w:val="22"/>
      <w:szCs w:val="22"/>
      <w:lang w:eastAsia="en-US"/>
    </w:rPr>
  </w:style>
  <w:style w:type="character" w:customStyle="1" w:styleId="Heading8Char">
    <w:name w:val="Heading 8 Char"/>
    <w:basedOn w:val="DefaultParagraphFont"/>
    <w:link w:val="Heading8"/>
    <w:uiPriority w:val="3"/>
    <w:semiHidden/>
    <w:rsid w:val="005476DA"/>
    <w:rPr>
      <w:rFonts w:ascii="Calibri" w:eastAsia="Times New Roman" w:hAnsi="Calibri" w:cs="Calibri"/>
      <w:bCs/>
      <w:iCs/>
      <w:color w:val="404040"/>
      <w:sz w:val="22"/>
      <w:szCs w:val="22"/>
      <w:lang w:eastAsia="en-US"/>
    </w:rPr>
  </w:style>
  <w:style w:type="character" w:customStyle="1" w:styleId="Heading9Char">
    <w:name w:val="Heading 9 Char"/>
    <w:basedOn w:val="DefaultParagraphFont"/>
    <w:link w:val="Heading9"/>
    <w:uiPriority w:val="3"/>
    <w:semiHidden/>
    <w:rsid w:val="005476DA"/>
    <w:rPr>
      <w:rFonts w:ascii="Calibri" w:eastAsia="Times New Roman" w:hAnsi="Calibri" w:cs="Calibri"/>
      <w:bCs/>
      <w:iCs/>
      <w:color w:val="404040"/>
      <w:sz w:val="22"/>
      <w:szCs w:val="22"/>
      <w:lang w:eastAsia="en-US"/>
    </w:rPr>
  </w:style>
  <w:style w:type="paragraph" w:customStyle="1" w:styleId="NormalIndent2">
    <w:name w:val="Normal Indent 2"/>
    <w:basedOn w:val="NormalIndent"/>
    <w:uiPriority w:val="4"/>
    <w:qFormat/>
    <w:rsid w:val="00D00949"/>
    <w:pPr>
      <w:ind w:left="1440"/>
    </w:pPr>
  </w:style>
  <w:style w:type="paragraph" w:customStyle="1" w:styleId="Tabletextnum">
    <w:name w:val="Table text num"/>
    <w:basedOn w:val="Listnumindent"/>
    <w:uiPriority w:val="4"/>
    <w:qFormat/>
    <w:rsid w:val="00406471"/>
    <w:pPr>
      <w:spacing w:line="264" w:lineRule="auto"/>
    </w:pPr>
    <w:rPr>
      <w:rFonts w:eastAsiaTheme="minorHAnsi"/>
      <w:sz w:val="17"/>
      <w:szCs w:val="21"/>
      <w:lang w:eastAsia="en-US"/>
    </w:rPr>
  </w:style>
  <w:style w:type="table" w:customStyle="1" w:styleId="VMIABasicTable1">
    <w:name w:val="VMIA Basic Table1"/>
    <w:basedOn w:val="TableNormal"/>
    <w:uiPriority w:val="99"/>
    <w:rsid w:val="005476DA"/>
    <w:pPr>
      <w:spacing w:after="0" w:line="240" w:lineRule="auto"/>
    </w:pPr>
    <w:rPr>
      <w:rFonts w:ascii="Arial" w:eastAsiaTheme="minorHAnsi" w:hAnsi="Arial"/>
      <w:sz w:val="22"/>
      <w:szCs w:val="22"/>
      <w:lang w:eastAsia="en-US"/>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pPr>
        <w:wordWrap/>
        <w:spacing w:beforeLines="0" w:before="0" w:beforeAutospacing="0" w:afterLines="0" w:after="0" w:afterAutospacing="0" w:line="240" w:lineRule="auto"/>
        <w:ind w:leftChars="0" w:left="0" w:rightChars="0" w:right="0" w:firstLineChars="0" w:firstLine="0"/>
        <w:jc w:val="left"/>
      </w:pPr>
      <w:rPr>
        <w:rFonts w:ascii="Arial" w:hAnsi="Arial"/>
        <w:b w:val="0"/>
        <w:color w:val="FFFFFF" w:themeColor="background1"/>
        <w:sz w:val="22"/>
      </w:rPr>
      <w:tblPr/>
      <w:tcPr>
        <w:shd w:val="clear" w:color="auto" w:fill="003366"/>
        <w:vAlign w:val="center"/>
      </w:tcPr>
    </w:tblStylePr>
  </w:style>
  <w:style w:type="character" w:customStyle="1" w:styleId="Heading5Char">
    <w:name w:val="Heading 5 Char"/>
    <w:basedOn w:val="DefaultParagraphFont"/>
    <w:link w:val="Heading5"/>
    <w:uiPriority w:val="3"/>
    <w:rsid w:val="006926C1"/>
    <w:rPr>
      <w:b/>
      <w:color w:val="0063A6" w:themeColor="accent1"/>
      <w:spacing w:val="2"/>
    </w:rPr>
  </w:style>
  <w:style w:type="paragraph" w:customStyle="1" w:styleId="TableBulletindent">
    <w:name w:val="Table Bullet indent"/>
    <w:basedOn w:val="Tablebullet"/>
    <w:uiPriority w:val="6"/>
    <w:qFormat/>
    <w:rsid w:val="0060329E"/>
    <w:pPr>
      <w:ind w:left="1584"/>
    </w:pPr>
    <w:rPr>
      <w:rFonts w:eastAsiaTheme="minorHAnsi"/>
      <w:szCs w:val="21"/>
      <w:lang w:eastAsia="en-US"/>
    </w:rPr>
  </w:style>
  <w:style w:type="numbering" w:styleId="111111">
    <w:name w:val="Outline List 2"/>
    <w:basedOn w:val="NoList"/>
    <w:uiPriority w:val="99"/>
    <w:semiHidden/>
    <w:unhideWhenUsed/>
    <w:rsid w:val="005476DA"/>
    <w:pPr>
      <w:numPr>
        <w:numId w:val="4"/>
      </w:numPr>
    </w:pPr>
  </w:style>
  <w:style w:type="numbering" w:styleId="1ai">
    <w:name w:val="Outline List 1"/>
    <w:basedOn w:val="NoList"/>
    <w:uiPriority w:val="99"/>
    <w:semiHidden/>
    <w:unhideWhenUsed/>
    <w:rsid w:val="005476DA"/>
    <w:pPr>
      <w:numPr>
        <w:numId w:val="5"/>
      </w:numPr>
    </w:pPr>
  </w:style>
  <w:style w:type="numbering" w:styleId="ArticleSection">
    <w:name w:val="Outline List 3"/>
    <w:basedOn w:val="NoList"/>
    <w:uiPriority w:val="99"/>
    <w:semiHidden/>
    <w:unhideWhenUsed/>
    <w:rsid w:val="005476DA"/>
    <w:pPr>
      <w:numPr>
        <w:numId w:val="6"/>
      </w:numPr>
    </w:pPr>
  </w:style>
  <w:style w:type="paragraph" w:styleId="Bibliography">
    <w:name w:val="Bibliography"/>
    <w:basedOn w:val="Normal"/>
    <w:next w:val="Normal"/>
    <w:uiPriority w:val="37"/>
    <w:semiHidden/>
    <w:unhideWhenUsed/>
    <w:rsid w:val="005476DA"/>
    <w:pPr>
      <w:spacing w:before="100" w:after="120" w:line="240" w:lineRule="auto"/>
      <w:ind w:left="794"/>
    </w:pPr>
    <w:rPr>
      <w:rFonts w:ascii="Calibri" w:eastAsia="Times New Roman" w:hAnsi="Calibri" w:cs="Calibri"/>
      <w:i/>
      <w:spacing w:val="0"/>
      <w:sz w:val="18"/>
      <w:szCs w:val="22"/>
    </w:rPr>
  </w:style>
  <w:style w:type="paragraph" w:styleId="BlockText">
    <w:name w:val="Block Text"/>
    <w:basedOn w:val="Normal"/>
    <w:uiPriority w:val="49"/>
    <w:semiHidden/>
    <w:rsid w:val="005476DA"/>
    <w:pPr>
      <w:spacing w:before="100" w:after="120" w:line="240" w:lineRule="auto"/>
      <w:ind w:left="1440" w:right="1440"/>
    </w:pPr>
    <w:rPr>
      <w:rFonts w:ascii="Calibri" w:eastAsia="Times New Roman" w:hAnsi="Calibri" w:cs="Calibri"/>
      <w:spacing w:val="0"/>
      <w:sz w:val="22"/>
      <w:szCs w:val="22"/>
    </w:rPr>
  </w:style>
  <w:style w:type="paragraph" w:styleId="BodyText2">
    <w:name w:val="Body Text 2"/>
    <w:basedOn w:val="Normal"/>
    <w:link w:val="BodyText2Char"/>
    <w:uiPriority w:val="49"/>
    <w:semiHidden/>
    <w:rsid w:val="005476DA"/>
    <w:pPr>
      <w:spacing w:before="100" w:after="120" w:line="480" w:lineRule="auto"/>
      <w:ind w:left="794"/>
    </w:pPr>
    <w:rPr>
      <w:rFonts w:ascii="Calibri" w:eastAsia="Times New Roman" w:hAnsi="Calibri" w:cs="Calibri"/>
      <w:spacing w:val="0"/>
      <w:sz w:val="22"/>
      <w:szCs w:val="22"/>
    </w:rPr>
  </w:style>
  <w:style w:type="character" w:customStyle="1" w:styleId="BodyText2Char">
    <w:name w:val="Body Text 2 Char"/>
    <w:basedOn w:val="DefaultParagraphFont"/>
    <w:link w:val="BodyText2"/>
    <w:uiPriority w:val="49"/>
    <w:semiHidden/>
    <w:rsid w:val="005476DA"/>
    <w:rPr>
      <w:rFonts w:ascii="Calibri" w:eastAsia="Times New Roman" w:hAnsi="Calibri" w:cs="Calibri"/>
      <w:sz w:val="22"/>
      <w:szCs w:val="22"/>
    </w:rPr>
  </w:style>
  <w:style w:type="paragraph" w:styleId="BodyText3">
    <w:name w:val="Body Text 3"/>
    <w:basedOn w:val="Normal"/>
    <w:link w:val="BodyText3Char"/>
    <w:uiPriority w:val="49"/>
    <w:semiHidden/>
    <w:rsid w:val="005476DA"/>
    <w:pPr>
      <w:spacing w:before="100" w:after="120" w:line="240" w:lineRule="auto"/>
      <w:ind w:left="794"/>
    </w:pPr>
    <w:rPr>
      <w:rFonts w:ascii="Calibri" w:eastAsia="Times New Roman" w:hAnsi="Calibri" w:cs="Calibri"/>
      <w:spacing w:val="0"/>
      <w:sz w:val="16"/>
      <w:szCs w:val="16"/>
    </w:rPr>
  </w:style>
  <w:style w:type="character" w:customStyle="1" w:styleId="BodyText3Char">
    <w:name w:val="Body Text 3 Char"/>
    <w:basedOn w:val="DefaultParagraphFont"/>
    <w:link w:val="BodyText3"/>
    <w:uiPriority w:val="49"/>
    <w:semiHidden/>
    <w:rsid w:val="005476DA"/>
    <w:rPr>
      <w:rFonts w:ascii="Calibri" w:eastAsia="Times New Roman" w:hAnsi="Calibri" w:cs="Calibri"/>
      <w:sz w:val="16"/>
      <w:szCs w:val="16"/>
    </w:rPr>
  </w:style>
  <w:style w:type="paragraph" w:styleId="BodyTextFirstIndent">
    <w:name w:val="Body Text First Indent"/>
    <w:basedOn w:val="BodyText"/>
    <w:link w:val="BodyTextFirstIndentChar"/>
    <w:uiPriority w:val="49"/>
    <w:semiHidden/>
    <w:rsid w:val="005476DA"/>
    <w:pPr>
      <w:spacing w:after="120"/>
      <w:ind w:firstLine="210"/>
    </w:pPr>
  </w:style>
  <w:style w:type="character" w:customStyle="1" w:styleId="BodyTextFirstIndentChar">
    <w:name w:val="Body Text First Indent Char"/>
    <w:basedOn w:val="BodyTextChar"/>
    <w:link w:val="BodyTextFirstIndent"/>
    <w:uiPriority w:val="49"/>
    <w:semiHidden/>
    <w:rsid w:val="005476DA"/>
    <w:rPr>
      <w:rFonts w:ascii="Calibri" w:eastAsia="Times New Roman" w:hAnsi="Calibri" w:cs="Calibri"/>
      <w:sz w:val="22"/>
      <w:szCs w:val="22"/>
    </w:rPr>
  </w:style>
  <w:style w:type="paragraph" w:styleId="BodyTextIndent">
    <w:name w:val="Body Text Indent"/>
    <w:basedOn w:val="Normal"/>
    <w:link w:val="BodyTextIndentChar"/>
    <w:uiPriority w:val="49"/>
    <w:semiHidden/>
    <w:rsid w:val="005476DA"/>
    <w:pPr>
      <w:spacing w:before="100" w:after="120" w:line="240" w:lineRule="auto"/>
      <w:ind w:left="283"/>
    </w:pPr>
    <w:rPr>
      <w:rFonts w:ascii="Calibri" w:eastAsia="Times New Roman" w:hAnsi="Calibri" w:cs="Calibri"/>
      <w:spacing w:val="0"/>
      <w:sz w:val="22"/>
      <w:szCs w:val="22"/>
    </w:rPr>
  </w:style>
  <w:style w:type="character" w:customStyle="1" w:styleId="BodyTextIndentChar">
    <w:name w:val="Body Text Indent Char"/>
    <w:basedOn w:val="DefaultParagraphFont"/>
    <w:link w:val="BodyTextIndent"/>
    <w:uiPriority w:val="49"/>
    <w:semiHidden/>
    <w:rsid w:val="005476DA"/>
    <w:rPr>
      <w:rFonts w:ascii="Calibri" w:eastAsia="Times New Roman" w:hAnsi="Calibri" w:cs="Calibri"/>
      <w:sz w:val="22"/>
      <w:szCs w:val="22"/>
    </w:rPr>
  </w:style>
  <w:style w:type="paragraph" w:styleId="BodyTextFirstIndent2">
    <w:name w:val="Body Text First Indent 2"/>
    <w:basedOn w:val="BodyTextIndent"/>
    <w:link w:val="BodyTextFirstIndent2Char"/>
    <w:uiPriority w:val="49"/>
    <w:semiHidden/>
    <w:rsid w:val="005476DA"/>
    <w:pPr>
      <w:ind w:firstLine="210"/>
    </w:pPr>
  </w:style>
  <w:style w:type="character" w:customStyle="1" w:styleId="BodyTextFirstIndent2Char">
    <w:name w:val="Body Text First Indent 2 Char"/>
    <w:basedOn w:val="BodyTextIndentChar"/>
    <w:link w:val="BodyTextFirstIndent2"/>
    <w:uiPriority w:val="49"/>
    <w:semiHidden/>
    <w:rsid w:val="005476DA"/>
    <w:rPr>
      <w:rFonts w:ascii="Calibri" w:eastAsia="Times New Roman" w:hAnsi="Calibri" w:cs="Calibri"/>
      <w:sz w:val="22"/>
      <w:szCs w:val="22"/>
    </w:rPr>
  </w:style>
  <w:style w:type="paragraph" w:styleId="BodyTextIndent2">
    <w:name w:val="Body Text Indent 2"/>
    <w:basedOn w:val="Normal"/>
    <w:link w:val="BodyTextIndent2Char"/>
    <w:uiPriority w:val="49"/>
    <w:semiHidden/>
    <w:rsid w:val="005476DA"/>
    <w:pPr>
      <w:spacing w:before="100" w:after="120" w:line="480" w:lineRule="auto"/>
      <w:ind w:left="283"/>
    </w:pPr>
    <w:rPr>
      <w:rFonts w:ascii="Calibri" w:eastAsia="Times New Roman" w:hAnsi="Calibri" w:cs="Calibri"/>
      <w:spacing w:val="0"/>
      <w:sz w:val="22"/>
      <w:szCs w:val="22"/>
    </w:rPr>
  </w:style>
  <w:style w:type="character" w:customStyle="1" w:styleId="BodyTextIndent2Char">
    <w:name w:val="Body Text Indent 2 Char"/>
    <w:basedOn w:val="DefaultParagraphFont"/>
    <w:link w:val="BodyTextIndent2"/>
    <w:uiPriority w:val="49"/>
    <w:semiHidden/>
    <w:rsid w:val="005476DA"/>
    <w:rPr>
      <w:rFonts w:ascii="Calibri" w:eastAsia="Times New Roman" w:hAnsi="Calibri" w:cs="Calibri"/>
      <w:sz w:val="22"/>
      <w:szCs w:val="22"/>
    </w:rPr>
  </w:style>
  <w:style w:type="paragraph" w:styleId="BodyTextIndent3">
    <w:name w:val="Body Text Indent 3"/>
    <w:basedOn w:val="Normal"/>
    <w:link w:val="BodyTextIndent3Char"/>
    <w:uiPriority w:val="49"/>
    <w:semiHidden/>
    <w:rsid w:val="005476DA"/>
    <w:pPr>
      <w:spacing w:before="100" w:after="120" w:line="240" w:lineRule="auto"/>
      <w:ind w:left="283"/>
    </w:pPr>
    <w:rPr>
      <w:rFonts w:ascii="Calibri" w:eastAsia="Times New Roman" w:hAnsi="Calibri" w:cs="Calibri"/>
      <w:spacing w:val="0"/>
      <w:sz w:val="16"/>
      <w:szCs w:val="16"/>
    </w:rPr>
  </w:style>
  <w:style w:type="character" w:customStyle="1" w:styleId="BodyTextIndent3Char">
    <w:name w:val="Body Text Indent 3 Char"/>
    <w:basedOn w:val="DefaultParagraphFont"/>
    <w:link w:val="BodyTextIndent3"/>
    <w:uiPriority w:val="49"/>
    <w:semiHidden/>
    <w:rsid w:val="005476DA"/>
    <w:rPr>
      <w:rFonts w:ascii="Calibri" w:eastAsia="Times New Roman" w:hAnsi="Calibri" w:cs="Calibri"/>
      <w:sz w:val="16"/>
      <w:szCs w:val="16"/>
    </w:rPr>
  </w:style>
  <w:style w:type="paragraph" w:styleId="Closing">
    <w:name w:val="Closing"/>
    <w:basedOn w:val="Normal"/>
    <w:link w:val="ClosingChar"/>
    <w:uiPriority w:val="49"/>
    <w:semiHidden/>
    <w:rsid w:val="005476DA"/>
    <w:pPr>
      <w:spacing w:before="100" w:line="240" w:lineRule="auto"/>
      <w:ind w:left="4252"/>
    </w:pPr>
    <w:rPr>
      <w:rFonts w:ascii="Calibri" w:eastAsia="Times New Roman" w:hAnsi="Calibri" w:cs="Calibri"/>
      <w:spacing w:val="0"/>
      <w:sz w:val="22"/>
      <w:szCs w:val="22"/>
    </w:rPr>
  </w:style>
  <w:style w:type="character" w:customStyle="1" w:styleId="ClosingChar">
    <w:name w:val="Closing Char"/>
    <w:basedOn w:val="DefaultParagraphFont"/>
    <w:link w:val="Closing"/>
    <w:uiPriority w:val="49"/>
    <w:semiHidden/>
    <w:rsid w:val="005476DA"/>
    <w:rPr>
      <w:rFonts w:ascii="Calibri" w:eastAsia="Times New Roman" w:hAnsi="Calibri" w:cs="Calibri"/>
      <w:sz w:val="22"/>
      <w:szCs w:val="22"/>
    </w:rPr>
  </w:style>
  <w:style w:type="table" w:styleId="ColorfulGrid">
    <w:name w:val="Colorful Grid"/>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49"/>
    <w:semiHidden/>
    <w:rsid w:val="005476DA"/>
    <w:rPr>
      <w:b/>
      <w:bCs/>
    </w:rPr>
  </w:style>
  <w:style w:type="character" w:customStyle="1" w:styleId="CommentSubjectChar">
    <w:name w:val="Comment Subject Char"/>
    <w:basedOn w:val="CommentTextChar"/>
    <w:link w:val="CommentSubject"/>
    <w:uiPriority w:val="49"/>
    <w:semiHidden/>
    <w:rsid w:val="005476DA"/>
    <w:rPr>
      <w:rFonts w:ascii="Calibri" w:eastAsia="Times New Roman" w:hAnsi="Calibri" w:cs="Calibri"/>
      <w:b/>
      <w:bCs/>
      <w:sz w:val="22"/>
      <w:szCs w:val="22"/>
    </w:rPr>
  </w:style>
  <w:style w:type="table" w:styleId="DarkList">
    <w:name w:val="Dark List"/>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5476DA"/>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5476DA"/>
    <w:pPr>
      <w:spacing w:before="100" w:line="240" w:lineRule="auto"/>
      <w:ind w:left="1411"/>
    </w:pPr>
    <w:rPr>
      <w:rFonts w:ascii="Calibri" w:eastAsia="Times New Roman" w:hAnsi="Calibri" w:cs="Calibri"/>
      <w:spacing w:val="0"/>
      <w:sz w:val="22"/>
      <w:szCs w:val="22"/>
    </w:rPr>
  </w:style>
  <w:style w:type="character" w:customStyle="1" w:styleId="DateChar">
    <w:name w:val="Date Char"/>
    <w:basedOn w:val="DefaultParagraphFont"/>
    <w:link w:val="Date"/>
    <w:uiPriority w:val="49"/>
    <w:semiHidden/>
    <w:rsid w:val="005476DA"/>
    <w:rPr>
      <w:rFonts w:ascii="Calibri" w:eastAsia="Times New Roman" w:hAnsi="Calibri" w:cs="Calibri"/>
      <w:sz w:val="22"/>
      <w:szCs w:val="22"/>
    </w:rPr>
  </w:style>
  <w:style w:type="paragraph" w:styleId="DocumentMap">
    <w:name w:val="Document Map"/>
    <w:basedOn w:val="Normal"/>
    <w:link w:val="DocumentMapChar"/>
    <w:uiPriority w:val="49"/>
    <w:semiHidden/>
    <w:rsid w:val="005476DA"/>
    <w:pPr>
      <w:shd w:val="clear" w:color="auto" w:fill="000080"/>
      <w:spacing w:before="100" w:line="240" w:lineRule="auto"/>
      <w:ind w:left="794"/>
    </w:pPr>
    <w:rPr>
      <w:rFonts w:ascii="Calibri" w:eastAsia="Times New Roman" w:hAnsi="Calibri" w:cs="Calibri"/>
      <w:spacing w:val="0"/>
      <w:sz w:val="22"/>
      <w:szCs w:val="22"/>
    </w:rPr>
  </w:style>
  <w:style w:type="character" w:customStyle="1" w:styleId="DocumentMapChar">
    <w:name w:val="Document Map Char"/>
    <w:basedOn w:val="DefaultParagraphFont"/>
    <w:link w:val="DocumentMap"/>
    <w:uiPriority w:val="49"/>
    <w:semiHidden/>
    <w:rsid w:val="005476DA"/>
    <w:rPr>
      <w:rFonts w:ascii="Calibri" w:eastAsia="Times New Roman" w:hAnsi="Calibri" w:cs="Calibri"/>
      <w:sz w:val="22"/>
      <w:szCs w:val="22"/>
      <w:shd w:val="clear" w:color="auto" w:fill="000080"/>
    </w:rPr>
  </w:style>
  <w:style w:type="paragraph" w:styleId="E-mailSignature">
    <w:name w:val="E-mail Signature"/>
    <w:basedOn w:val="Normal"/>
    <w:link w:val="E-mailSignature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E-mailSignatureChar">
    <w:name w:val="E-mail Signature Char"/>
    <w:basedOn w:val="DefaultParagraphFont"/>
    <w:link w:val="E-mailSignature"/>
    <w:uiPriority w:val="49"/>
    <w:semiHidden/>
    <w:rsid w:val="005476DA"/>
    <w:rPr>
      <w:rFonts w:ascii="Calibri" w:eastAsia="Times New Roman" w:hAnsi="Calibri" w:cs="Calibri"/>
      <w:sz w:val="22"/>
      <w:szCs w:val="22"/>
    </w:rPr>
  </w:style>
  <w:style w:type="character" w:styleId="EndnoteReference">
    <w:name w:val="endnote reference"/>
    <w:uiPriority w:val="49"/>
    <w:semiHidden/>
    <w:rsid w:val="005476DA"/>
    <w:rPr>
      <w:vertAlign w:val="superscript"/>
    </w:rPr>
  </w:style>
  <w:style w:type="paragraph" w:styleId="EndnoteText">
    <w:name w:val="endnote text"/>
    <w:basedOn w:val="Normal"/>
    <w:link w:val="EndnoteText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EndnoteTextChar">
    <w:name w:val="Endnote Text Char"/>
    <w:basedOn w:val="DefaultParagraphFont"/>
    <w:link w:val="EndnoteText"/>
    <w:uiPriority w:val="49"/>
    <w:semiHidden/>
    <w:rsid w:val="005476DA"/>
    <w:rPr>
      <w:rFonts w:ascii="Calibri" w:eastAsia="Times New Roman" w:hAnsi="Calibri" w:cs="Calibri"/>
      <w:sz w:val="22"/>
      <w:szCs w:val="22"/>
    </w:rPr>
  </w:style>
  <w:style w:type="paragraph" w:styleId="EnvelopeAddress">
    <w:name w:val="envelope address"/>
    <w:basedOn w:val="Normal"/>
    <w:uiPriority w:val="49"/>
    <w:semiHidden/>
    <w:rsid w:val="005476DA"/>
    <w:pPr>
      <w:framePr w:w="7920" w:h="1980" w:hRule="exact" w:hSpace="180" w:wrap="auto" w:hAnchor="page" w:xAlign="center" w:yAlign="bottom"/>
      <w:spacing w:before="100" w:line="240" w:lineRule="auto"/>
      <w:ind w:left="2880"/>
    </w:pPr>
    <w:rPr>
      <w:rFonts w:ascii="Calibri" w:eastAsia="Times New Roman" w:hAnsi="Calibri" w:cs="Calibri"/>
      <w:spacing w:val="0"/>
      <w:sz w:val="24"/>
      <w:szCs w:val="24"/>
    </w:rPr>
  </w:style>
  <w:style w:type="paragraph" w:styleId="EnvelopeReturn">
    <w:name w:val="envelope return"/>
    <w:basedOn w:val="Normal"/>
    <w:uiPriority w:val="49"/>
    <w:semiHidden/>
    <w:rsid w:val="005476DA"/>
    <w:pPr>
      <w:spacing w:before="100" w:line="240" w:lineRule="auto"/>
      <w:ind w:left="794"/>
    </w:pPr>
    <w:rPr>
      <w:rFonts w:ascii="Calibri" w:eastAsia="Times New Roman" w:hAnsi="Calibri" w:cs="Calibri"/>
      <w:spacing w:val="0"/>
      <w:sz w:val="22"/>
      <w:szCs w:val="22"/>
    </w:rPr>
  </w:style>
  <w:style w:type="paragraph" w:customStyle="1" w:styleId="FactSheetBullet1">
    <w:name w:val="Fact Sheet Bullet 1"/>
    <w:basedOn w:val="Normal"/>
    <w:semiHidden/>
    <w:rsid w:val="005476DA"/>
    <w:pPr>
      <w:spacing w:before="100" w:after="60" w:line="220" w:lineRule="atLeast"/>
      <w:contextualSpacing/>
    </w:pPr>
    <w:rPr>
      <w:rFonts w:ascii="Calibri" w:eastAsia="Times New Roman" w:hAnsi="Calibri" w:cs="Calibri"/>
      <w:spacing w:val="0"/>
      <w:sz w:val="18"/>
      <w:szCs w:val="22"/>
    </w:rPr>
  </w:style>
  <w:style w:type="paragraph" w:customStyle="1" w:styleId="FactSheetBullet2">
    <w:name w:val="Fact Sheet Bullet 2"/>
    <w:basedOn w:val="Normal"/>
    <w:semiHidden/>
    <w:rsid w:val="005476DA"/>
    <w:pPr>
      <w:spacing w:before="80" w:after="60" w:line="220" w:lineRule="atLeast"/>
      <w:contextualSpacing/>
    </w:pPr>
    <w:rPr>
      <w:rFonts w:ascii="Calibri" w:eastAsia="Times New Roman" w:hAnsi="Calibri" w:cs="Calibri"/>
      <w:spacing w:val="0"/>
      <w:sz w:val="18"/>
      <w:szCs w:val="22"/>
    </w:rPr>
  </w:style>
  <w:style w:type="paragraph" w:customStyle="1" w:styleId="FactSheetBullet3">
    <w:name w:val="Fact Sheet Bullet 3"/>
    <w:basedOn w:val="FactSheetBullet2"/>
    <w:semiHidden/>
    <w:rsid w:val="005476DA"/>
  </w:style>
  <w:style w:type="character" w:styleId="FollowedHyperlink">
    <w:name w:val="FollowedHyperlink"/>
    <w:uiPriority w:val="99"/>
    <w:semiHidden/>
    <w:rsid w:val="005476DA"/>
    <w:rPr>
      <w:color w:val="800080"/>
      <w:u w:val="single"/>
    </w:rPr>
  </w:style>
  <w:style w:type="character" w:styleId="HTMLAcronym">
    <w:name w:val="HTML Acronym"/>
    <w:basedOn w:val="DefaultParagraphFont"/>
    <w:uiPriority w:val="99"/>
    <w:semiHidden/>
    <w:rsid w:val="005476DA"/>
  </w:style>
  <w:style w:type="paragraph" w:styleId="HTMLAddress">
    <w:name w:val="HTML Address"/>
    <w:basedOn w:val="Normal"/>
    <w:link w:val="HTMLAddressChar"/>
    <w:uiPriority w:val="49"/>
    <w:semiHidden/>
    <w:rsid w:val="005476DA"/>
    <w:pPr>
      <w:spacing w:before="100" w:line="240" w:lineRule="auto"/>
      <w:ind w:left="794"/>
    </w:pPr>
    <w:rPr>
      <w:rFonts w:ascii="Calibri" w:eastAsia="Times New Roman" w:hAnsi="Calibri" w:cs="Calibri"/>
      <w:i/>
      <w:iCs/>
      <w:spacing w:val="0"/>
      <w:sz w:val="22"/>
      <w:szCs w:val="22"/>
    </w:rPr>
  </w:style>
  <w:style w:type="character" w:customStyle="1" w:styleId="HTMLAddressChar">
    <w:name w:val="HTML Address Char"/>
    <w:basedOn w:val="DefaultParagraphFont"/>
    <w:link w:val="HTMLAddress"/>
    <w:uiPriority w:val="49"/>
    <w:semiHidden/>
    <w:rsid w:val="005476DA"/>
    <w:rPr>
      <w:rFonts w:ascii="Calibri" w:eastAsia="Times New Roman" w:hAnsi="Calibri" w:cs="Calibri"/>
      <w:i/>
      <w:iCs/>
      <w:sz w:val="22"/>
      <w:szCs w:val="22"/>
    </w:rPr>
  </w:style>
  <w:style w:type="character" w:styleId="HTMLCite">
    <w:name w:val="HTML Cite"/>
    <w:uiPriority w:val="99"/>
    <w:semiHidden/>
    <w:rsid w:val="005476DA"/>
    <w:rPr>
      <w:i/>
      <w:iCs/>
    </w:rPr>
  </w:style>
  <w:style w:type="character" w:styleId="HTMLCode">
    <w:name w:val="HTML Code"/>
    <w:uiPriority w:val="99"/>
    <w:semiHidden/>
    <w:rsid w:val="005476DA"/>
    <w:rPr>
      <w:sz w:val="20"/>
      <w:szCs w:val="20"/>
    </w:rPr>
  </w:style>
  <w:style w:type="character" w:styleId="HTMLDefinition">
    <w:name w:val="HTML Definition"/>
    <w:uiPriority w:val="99"/>
    <w:semiHidden/>
    <w:rsid w:val="005476DA"/>
    <w:rPr>
      <w:i/>
      <w:iCs/>
    </w:rPr>
  </w:style>
  <w:style w:type="character" w:styleId="HTMLKeyboard">
    <w:name w:val="HTML Keyboard"/>
    <w:uiPriority w:val="99"/>
    <w:semiHidden/>
    <w:rsid w:val="005476DA"/>
    <w:rPr>
      <w:sz w:val="20"/>
      <w:szCs w:val="20"/>
    </w:rPr>
  </w:style>
  <w:style w:type="paragraph" w:styleId="HTMLPreformatted">
    <w:name w:val="HTML Preformatted"/>
    <w:basedOn w:val="Normal"/>
    <w:link w:val="HTMLPreformatted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HTMLPreformattedChar">
    <w:name w:val="HTML Preformatted Char"/>
    <w:basedOn w:val="DefaultParagraphFont"/>
    <w:link w:val="HTMLPreformatted"/>
    <w:uiPriority w:val="49"/>
    <w:semiHidden/>
    <w:rsid w:val="005476DA"/>
    <w:rPr>
      <w:rFonts w:ascii="Calibri" w:eastAsia="Times New Roman" w:hAnsi="Calibri" w:cs="Calibri"/>
      <w:sz w:val="22"/>
      <w:szCs w:val="22"/>
    </w:rPr>
  </w:style>
  <w:style w:type="character" w:styleId="HTMLSample">
    <w:name w:val="HTML Sample"/>
    <w:uiPriority w:val="99"/>
    <w:semiHidden/>
    <w:rsid w:val="005476DA"/>
    <w:rPr>
      <w:sz w:val="24"/>
      <w:szCs w:val="24"/>
    </w:rPr>
  </w:style>
  <w:style w:type="character" w:styleId="HTMLTypewriter">
    <w:name w:val="HTML Typewriter"/>
    <w:uiPriority w:val="99"/>
    <w:semiHidden/>
    <w:rsid w:val="005476DA"/>
    <w:rPr>
      <w:sz w:val="20"/>
      <w:szCs w:val="20"/>
    </w:rPr>
  </w:style>
  <w:style w:type="character" w:styleId="HTMLVariable">
    <w:name w:val="HTML Variable"/>
    <w:uiPriority w:val="99"/>
    <w:semiHidden/>
    <w:rsid w:val="005476DA"/>
    <w:rPr>
      <w:i/>
      <w:iCs/>
    </w:rPr>
  </w:style>
  <w:style w:type="paragraph" w:styleId="Index3">
    <w:name w:val="index 3"/>
    <w:basedOn w:val="Normal"/>
    <w:next w:val="Normal"/>
    <w:autoRedefine/>
    <w:uiPriority w:val="49"/>
    <w:semiHidden/>
    <w:rsid w:val="005476DA"/>
    <w:pPr>
      <w:spacing w:before="100" w:line="240" w:lineRule="auto"/>
      <w:ind w:left="600" w:hanging="200"/>
    </w:pPr>
    <w:rPr>
      <w:rFonts w:ascii="Calibri" w:eastAsia="Times New Roman" w:hAnsi="Calibri" w:cs="Calibri"/>
      <w:spacing w:val="0"/>
      <w:sz w:val="22"/>
      <w:szCs w:val="22"/>
    </w:rPr>
  </w:style>
  <w:style w:type="paragraph" w:styleId="Index4">
    <w:name w:val="index 4"/>
    <w:basedOn w:val="Normal"/>
    <w:next w:val="Normal"/>
    <w:autoRedefine/>
    <w:uiPriority w:val="49"/>
    <w:semiHidden/>
    <w:rsid w:val="005476DA"/>
    <w:pPr>
      <w:spacing w:before="100" w:line="240" w:lineRule="auto"/>
      <w:ind w:left="800" w:hanging="200"/>
    </w:pPr>
    <w:rPr>
      <w:rFonts w:ascii="Calibri" w:eastAsia="Times New Roman" w:hAnsi="Calibri" w:cs="Calibri"/>
      <w:spacing w:val="0"/>
      <w:sz w:val="22"/>
      <w:szCs w:val="22"/>
    </w:rPr>
  </w:style>
  <w:style w:type="paragraph" w:styleId="Index5">
    <w:name w:val="index 5"/>
    <w:basedOn w:val="Normal"/>
    <w:next w:val="Normal"/>
    <w:autoRedefine/>
    <w:uiPriority w:val="49"/>
    <w:semiHidden/>
    <w:rsid w:val="005476DA"/>
    <w:pPr>
      <w:spacing w:before="100" w:line="240" w:lineRule="auto"/>
      <w:ind w:left="1000" w:hanging="200"/>
    </w:pPr>
    <w:rPr>
      <w:rFonts w:ascii="Calibri" w:eastAsia="Times New Roman" w:hAnsi="Calibri" w:cs="Calibri"/>
      <w:spacing w:val="0"/>
      <w:sz w:val="22"/>
      <w:szCs w:val="22"/>
    </w:rPr>
  </w:style>
  <w:style w:type="paragraph" w:styleId="Index6">
    <w:name w:val="index 6"/>
    <w:basedOn w:val="Normal"/>
    <w:next w:val="Normal"/>
    <w:autoRedefine/>
    <w:uiPriority w:val="49"/>
    <w:semiHidden/>
    <w:rsid w:val="005476DA"/>
    <w:pPr>
      <w:spacing w:before="100" w:line="240" w:lineRule="auto"/>
      <w:ind w:left="1200" w:hanging="200"/>
    </w:pPr>
    <w:rPr>
      <w:rFonts w:ascii="Calibri" w:eastAsia="Times New Roman" w:hAnsi="Calibri" w:cs="Calibri"/>
      <w:spacing w:val="0"/>
      <w:sz w:val="22"/>
      <w:szCs w:val="22"/>
    </w:rPr>
  </w:style>
  <w:style w:type="paragraph" w:styleId="Index7">
    <w:name w:val="index 7"/>
    <w:basedOn w:val="Normal"/>
    <w:next w:val="Normal"/>
    <w:autoRedefine/>
    <w:uiPriority w:val="49"/>
    <w:semiHidden/>
    <w:rsid w:val="005476DA"/>
    <w:pPr>
      <w:spacing w:before="100" w:line="240" w:lineRule="auto"/>
      <w:ind w:left="1400" w:hanging="200"/>
    </w:pPr>
    <w:rPr>
      <w:rFonts w:ascii="Calibri" w:eastAsia="Times New Roman" w:hAnsi="Calibri" w:cs="Calibri"/>
      <w:spacing w:val="0"/>
      <w:sz w:val="22"/>
      <w:szCs w:val="22"/>
    </w:rPr>
  </w:style>
  <w:style w:type="paragraph" w:styleId="Index8">
    <w:name w:val="index 8"/>
    <w:basedOn w:val="Normal"/>
    <w:next w:val="Normal"/>
    <w:autoRedefine/>
    <w:uiPriority w:val="49"/>
    <w:semiHidden/>
    <w:rsid w:val="005476DA"/>
    <w:pPr>
      <w:spacing w:before="100" w:line="240" w:lineRule="auto"/>
      <w:ind w:left="1600" w:hanging="200"/>
    </w:pPr>
    <w:rPr>
      <w:rFonts w:ascii="Calibri" w:eastAsia="Times New Roman" w:hAnsi="Calibri" w:cs="Calibri"/>
      <w:spacing w:val="0"/>
      <w:sz w:val="22"/>
      <w:szCs w:val="22"/>
    </w:rPr>
  </w:style>
  <w:style w:type="paragraph" w:styleId="Index9">
    <w:name w:val="index 9"/>
    <w:basedOn w:val="Normal"/>
    <w:next w:val="Normal"/>
    <w:autoRedefine/>
    <w:uiPriority w:val="49"/>
    <w:semiHidden/>
    <w:rsid w:val="005476DA"/>
    <w:pPr>
      <w:spacing w:before="100" w:line="240" w:lineRule="auto"/>
      <w:ind w:left="1800" w:hanging="200"/>
    </w:pPr>
    <w:rPr>
      <w:rFonts w:ascii="Calibri" w:eastAsia="Times New Roman" w:hAnsi="Calibri" w:cs="Calibri"/>
      <w:spacing w:val="0"/>
      <w:sz w:val="22"/>
      <w:szCs w:val="22"/>
    </w:rPr>
  </w:style>
  <w:style w:type="table" w:styleId="LightGrid">
    <w:name w:val="Light Grid"/>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1">
    <w:name w:val="Light Shading Accent 1"/>
    <w:basedOn w:val="TableNormal"/>
    <w:uiPriority w:val="60"/>
    <w:rsid w:val="005476DA"/>
    <w:pPr>
      <w:spacing w:after="0" w:line="240" w:lineRule="auto"/>
    </w:pPr>
    <w:rPr>
      <w:rFonts w:ascii="Arial" w:eastAsia="Times New Roman" w:hAnsi="Arial"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5476DA"/>
    <w:pPr>
      <w:spacing w:after="0" w:line="240" w:lineRule="auto"/>
    </w:pPr>
    <w:rPr>
      <w:rFonts w:ascii="Arial" w:eastAsia="Times New Roman" w:hAnsi="Arial" w:cs="Times New Roman"/>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5476DA"/>
    <w:pPr>
      <w:spacing w:after="0" w:line="240" w:lineRule="auto"/>
    </w:pPr>
    <w:rPr>
      <w:rFonts w:ascii="Arial" w:eastAsia="Times New Roman" w:hAnsi="Arial"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476DA"/>
    <w:pPr>
      <w:spacing w:after="0" w:line="240" w:lineRule="auto"/>
    </w:pPr>
    <w:rPr>
      <w:rFonts w:ascii="Arial" w:eastAsia="Times New Roman" w:hAnsi="Arial"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476DA"/>
    <w:pPr>
      <w:spacing w:after="0" w:line="240" w:lineRule="auto"/>
    </w:pPr>
    <w:rPr>
      <w:rFonts w:ascii="Arial" w:eastAsia="Times New Roman" w:hAnsi="Arial"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476DA"/>
    <w:pPr>
      <w:spacing w:after="0" w:line="240" w:lineRule="auto"/>
    </w:pPr>
    <w:rPr>
      <w:rFonts w:ascii="Arial" w:eastAsia="Times New Roman" w:hAnsi="Arial"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476DA"/>
    <w:pPr>
      <w:spacing w:after="0" w:line="240" w:lineRule="auto"/>
    </w:pPr>
    <w:rPr>
      <w:rFonts w:ascii="Arial" w:eastAsia="Times New Roman" w:hAnsi="Arial"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5476DA"/>
  </w:style>
  <w:style w:type="paragraph" w:styleId="List">
    <w:name w:val="List"/>
    <w:basedOn w:val="Normal"/>
    <w:uiPriority w:val="49"/>
    <w:semiHidden/>
    <w:rsid w:val="005476DA"/>
    <w:pPr>
      <w:spacing w:before="100" w:line="240" w:lineRule="auto"/>
      <w:ind w:left="283" w:hanging="283"/>
    </w:pPr>
    <w:rPr>
      <w:rFonts w:ascii="Calibri" w:eastAsia="Times New Roman" w:hAnsi="Calibri" w:cs="Calibri"/>
      <w:spacing w:val="0"/>
      <w:sz w:val="22"/>
      <w:szCs w:val="22"/>
    </w:rPr>
  </w:style>
  <w:style w:type="paragraph" w:styleId="List2">
    <w:name w:val="List 2"/>
    <w:basedOn w:val="Normal"/>
    <w:uiPriority w:val="49"/>
    <w:semiHidden/>
    <w:rsid w:val="005476DA"/>
    <w:pPr>
      <w:spacing w:before="100" w:line="240" w:lineRule="auto"/>
      <w:ind w:left="566" w:hanging="283"/>
    </w:pPr>
    <w:rPr>
      <w:rFonts w:ascii="Calibri" w:eastAsia="Times New Roman" w:hAnsi="Calibri" w:cs="Calibri"/>
      <w:spacing w:val="0"/>
      <w:sz w:val="22"/>
      <w:szCs w:val="22"/>
    </w:rPr>
  </w:style>
  <w:style w:type="paragraph" w:styleId="List3">
    <w:name w:val="List 3"/>
    <w:basedOn w:val="Normal"/>
    <w:uiPriority w:val="49"/>
    <w:semiHidden/>
    <w:rsid w:val="005476DA"/>
    <w:pPr>
      <w:spacing w:before="100" w:line="240" w:lineRule="auto"/>
      <w:ind w:left="849" w:hanging="283"/>
    </w:pPr>
    <w:rPr>
      <w:rFonts w:ascii="Calibri" w:eastAsia="Times New Roman" w:hAnsi="Calibri" w:cs="Calibri"/>
      <w:spacing w:val="0"/>
      <w:sz w:val="22"/>
      <w:szCs w:val="22"/>
    </w:rPr>
  </w:style>
  <w:style w:type="paragraph" w:styleId="List4">
    <w:name w:val="List 4"/>
    <w:basedOn w:val="Normal"/>
    <w:uiPriority w:val="49"/>
    <w:semiHidden/>
    <w:rsid w:val="005476DA"/>
    <w:pPr>
      <w:spacing w:before="100" w:line="240" w:lineRule="auto"/>
      <w:ind w:left="1132" w:hanging="283"/>
    </w:pPr>
    <w:rPr>
      <w:rFonts w:ascii="Calibri" w:eastAsia="Times New Roman" w:hAnsi="Calibri" w:cs="Calibri"/>
      <w:spacing w:val="0"/>
      <w:sz w:val="22"/>
      <w:szCs w:val="22"/>
    </w:rPr>
  </w:style>
  <w:style w:type="paragraph" w:styleId="List5">
    <w:name w:val="List 5"/>
    <w:basedOn w:val="Normal"/>
    <w:uiPriority w:val="49"/>
    <w:semiHidden/>
    <w:rsid w:val="005476DA"/>
    <w:pPr>
      <w:spacing w:before="100" w:line="240" w:lineRule="auto"/>
      <w:ind w:left="1415" w:hanging="283"/>
    </w:pPr>
    <w:rPr>
      <w:rFonts w:ascii="Calibri" w:eastAsia="Times New Roman" w:hAnsi="Calibri" w:cs="Calibri"/>
      <w:spacing w:val="0"/>
      <w:sz w:val="22"/>
      <w:szCs w:val="22"/>
    </w:rPr>
  </w:style>
  <w:style w:type="paragraph" w:styleId="ListBullet">
    <w:name w:val="List Bullet"/>
    <w:basedOn w:val="Normal"/>
    <w:uiPriority w:val="99"/>
    <w:semiHidden/>
    <w:unhideWhenUsed/>
    <w:rsid w:val="005476DA"/>
    <w:pPr>
      <w:numPr>
        <w:numId w:val="7"/>
      </w:numPr>
      <w:spacing w:before="100" w:line="240" w:lineRule="auto"/>
      <w:contextualSpacing/>
    </w:pPr>
    <w:rPr>
      <w:rFonts w:ascii="Calibri" w:eastAsia="Times New Roman" w:hAnsi="Calibri" w:cs="Calibri"/>
      <w:spacing w:val="0"/>
      <w:sz w:val="22"/>
      <w:szCs w:val="22"/>
    </w:rPr>
  </w:style>
  <w:style w:type="paragraph" w:styleId="ListBullet2">
    <w:name w:val="List Bullet 2"/>
    <w:basedOn w:val="Normal"/>
    <w:uiPriority w:val="99"/>
    <w:semiHidden/>
    <w:rsid w:val="005476DA"/>
    <w:pPr>
      <w:numPr>
        <w:numId w:val="8"/>
      </w:numPr>
      <w:spacing w:before="100" w:line="240" w:lineRule="auto"/>
      <w:contextualSpacing/>
    </w:pPr>
    <w:rPr>
      <w:rFonts w:ascii="Calibri" w:eastAsia="Times New Roman" w:hAnsi="Calibri" w:cs="Calibri"/>
      <w:spacing w:val="0"/>
      <w:sz w:val="22"/>
      <w:szCs w:val="22"/>
    </w:rPr>
  </w:style>
  <w:style w:type="paragraph" w:styleId="ListBullet3">
    <w:name w:val="List Bullet 3"/>
    <w:basedOn w:val="Normal"/>
    <w:uiPriority w:val="99"/>
    <w:semiHidden/>
    <w:rsid w:val="005476DA"/>
    <w:pPr>
      <w:numPr>
        <w:numId w:val="9"/>
      </w:numPr>
      <w:spacing w:before="100" w:line="240" w:lineRule="auto"/>
      <w:contextualSpacing/>
    </w:pPr>
    <w:rPr>
      <w:rFonts w:ascii="Calibri" w:eastAsia="Times New Roman" w:hAnsi="Calibri" w:cs="Calibri"/>
      <w:spacing w:val="0"/>
      <w:sz w:val="22"/>
      <w:szCs w:val="22"/>
    </w:rPr>
  </w:style>
  <w:style w:type="paragraph" w:styleId="ListBullet4">
    <w:name w:val="List Bullet 4"/>
    <w:basedOn w:val="Normal"/>
    <w:uiPriority w:val="49"/>
    <w:semiHidden/>
    <w:rsid w:val="005476DA"/>
    <w:pPr>
      <w:tabs>
        <w:tab w:val="num" w:pos="1209"/>
      </w:tabs>
      <w:spacing w:before="100" w:line="240" w:lineRule="auto"/>
      <w:ind w:left="1209" w:hanging="360"/>
    </w:pPr>
    <w:rPr>
      <w:rFonts w:ascii="Calibri" w:eastAsia="Times New Roman" w:hAnsi="Calibri" w:cs="Calibri"/>
      <w:spacing w:val="0"/>
      <w:sz w:val="22"/>
      <w:szCs w:val="22"/>
    </w:rPr>
  </w:style>
  <w:style w:type="paragraph" w:styleId="ListBullet5">
    <w:name w:val="List Bullet 5"/>
    <w:basedOn w:val="Normal"/>
    <w:uiPriority w:val="49"/>
    <w:semiHidden/>
    <w:rsid w:val="005476DA"/>
    <w:pPr>
      <w:tabs>
        <w:tab w:val="num" w:pos="1492"/>
      </w:tabs>
      <w:spacing w:before="100" w:line="240" w:lineRule="auto"/>
      <w:ind w:left="1492" w:hanging="360"/>
    </w:pPr>
    <w:rPr>
      <w:rFonts w:ascii="Calibri" w:eastAsia="Times New Roman" w:hAnsi="Calibri" w:cs="Calibri"/>
      <w:spacing w:val="0"/>
      <w:sz w:val="22"/>
      <w:szCs w:val="22"/>
    </w:rPr>
  </w:style>
  <w:style w:type="paragraph" w:customStyle="1" w:styleId="ListBulletBold">
    <w:name w:val="List Bullet Bold"/>
    <w:basedOn w:val="Normal"/>
    <w:next w:val="Normal"/>
    <w:uiPriority w:val="49"/>
    <w:semiHidden/>
    <w:rsid w:val="005476DA"/>
    <w:pPr>
      <w:spacing w:before="100" w:line="240" w:lineRule="auto"/>
      <w:ind w:left="794"/>
    </w:pPr>
    <w:rPr>
      <w:rFonts w:ascii="Calibri" w:eastAsia="Times New Roman" w:hAnsi="Calibri" w:cs="Calibri"/>
      <w:b/>
      <w:spacing w:val="0"/>
      <w:sz w:val="22"/>
      <w:szCs w:val="22"/>
    </w:rPr>
  </w:style>
  <w:style w:type="paragraph" w:styleId="ListContinue">
    <w:name w:val="List Continue"/>
    <w:basedOn w:val="Normal"/>
    <w:uiPriority w:val="8"/>
    <w:semiHidden/>
    <w:qFormat/>
    <w:rsid w:val="005476DA"/>
    <w:pPr>
      <w:spacing w:before="0" w:after="0" w:line="240" w:lineRule="auto"/>
      <w:ind w:left="1077"/>
    </w:pPr>
    <w:rPr>
      <w:rFonts w:ascii="Calibri" w:eastAsia="Times New Roman" w:hAnsi="Calibri" w:cs="Calibri"/>
      <w:spacing w:val="0"/>
      <w:sz w:val="22"/>
      <w:szCs w:val="22"/>
    </w:rPr>
  </w:style>
  <w:style w:type="paragraph" w:styleId="ListContinue2">
    <w:name w:val="List Continue 2"/>
    <w:basedOn w:val="Normal"/>
    <w:uiPriority w:val="8"/>
    <w:semiHidden/>
    <w:rsid w:val="005476DA"/>
    <w:pPr>
      <w:spacing w:before="0" w:after="0" w:line="240" w:lineRule="auto"/>
      <w:ind w:left="1361"/>
    </w:pPr>
    <w:rPr>
      <w:rFonts w:ascii="Calibri" w:eastAsia="Times New Roman" w:hAnsi="Calibri" w:cs="Calibri"/>
      <w:spacing w:val="0"/>
      <w:sz w:val="22"/>
      <w:szCs w:val="22"/>
    </w:rPr>
  </w:style>
  <w:style w:type="paragraph" w:styleId="ListContinue3">
    <w:name w:val="List Continue 3"/>
    <w:basedOn w:val="Normal"/>
    <w:uiPriority w:val="8"/>
    <w:semiHidden/>
    <w:rsid w:val="005476DA"/>
    <w:pPr>
      <w:spacing w:before="0" w:after="0" w:line="240" w:lineRule="auto"/>
      <w:ind w:left="1644"/>
    </w:pPr>
    <w:rPr>
      <w:rFonts w:ascii="Calibri" w:eastAsia="Times New Roman" w:hAnsi="Calibri" w:cs="Calibri"/>
      <w:spacing w:val="0"/>
      <w:sz w:val="22"/>
      <w:szCs w:val="22"/>
    </w:rPr>
  </w:style>
  <w:style w:type="paragraph" w:styleId="ListContinue4">
    <w:name w:val="List Continue 4"/>
    <w:basedOn w:val="Normal"/>
    <w:uiPriority w:val="49"/>
    <w:semiHidden/>
    <w:rsid w:val="005476DA"/>
    <w:pPr>
      <w:spacing w:before="100" w:after="120" w:line="240" w:lineRule="auto"/>
      <w:ind w:left="1132"/>
    </w:pPr>
    <w:rPr>
      <w:rFonts w:ascii="Calibri" w:eastAsia="Times New Roman" w:hAnsi="Calibri" w:cs="Calibri"/>
      <w:spacing w:val="0"/>
      <w:sz w:val="22"/>
      <w:szCs w:val="22"/>
    </w:rPr>
  </w:style>
  <w:style w:type="paragraph" w:styleId="ListContinue5">
    <w:name w:val="List Continue 5"/>
    <w:basedOn w:val="Normal"/>
    <w:uiPriority w:val="49"/>
    <w:semiHidden/>
    <w:rsid w:val="005476DA"/>
    <w:pPr>
      <w:spacing w:before="100" w:after="120" w:line="240" w:lineRule="auto"/>
      <w:ind w:left="1415"/>
    </w:pPr>
    <w:rPr>
      <w:rFonts w:ascii="Calibri" w:eastAsia="Times New Roman" w:hAnsi="Calibri" w:cs="Calibri"/>
      <w:spacing w:val="0"/>
      <w:sz w:val="22"/>
      <w:szCs w:val="22"/>
    </w:rPr>
  </w:style>
  <w:style w:type="paragraph" w:styleId="ListNumber">
    <w:name w:val="List Number"/>
    <w:basedOn w:val="Normal"/>
    <w:uiPriority w:val="7"/>
    <w:semiHidden/>
    <w:qFormat/>
    <w:rsid w:val="005476DA"/>
    <w:pPr>
      <w:numPr>
        <w:numId w:val="10"/>
      </w:numPr>
      <w:spacing w:before="100" w:line="240" w:lineRule="auto"/>
      <w:contextualSpacing/>
    </w:pPr>
    <w:rPr>
      <w:rFonts w:ascii="Calibri" w:eastAsia="Times New Roman" w:hAnsi="Calibri" w:cs="Calibri"/>
      <w:spacing w:val="0"/>
      <w:sz w:val="22"/>
      <w:szCs w:val="22"/>
    </w:rPr>
  </w:style>
  <w:style w:type="paragraph" w:styleId="ListNumber2">
    <w:name w:val="List Number 2"/>
    <w:basedOn w:val="Normal"/>
    <w:uiPriority w:val="7"/>
    <w:semiHidden/>
    <w:rsid w:val="005476DA"/>
    <w:pPr>
      <w:numPr>
        <w:ilvl w:val="1"/>
        <w:numId w:val="10"/>
      </w:numPr>
      <w:spacing w:before="100" w:line="240" w:lineRule="auto"/>
      <w:contextualSpacing/>
    </w:pPr>
    <w:rPr>
      <w:rFonts w:ascii="Calibri" w:eastAsia="Times New Roman" w:hAnsi="Calibri" w:cs="Calibri"/>
      <w:spacing w:val="0"/>
      <w:sz w:val="22"/>
      <w:szCs w:val="22"/>
    </w:rPr>
  </w:style>
  <w:style w:type="paragraph" w:styleId="ListNumber3">
    <w:name w:val="List Number 3"/>
    <w:basedOn w:val="Normal"/>
    <w:uiPriority w:val="7"/>
    <w:semiHidden/>
    <w:rsid w:val="005476DA"/>
    <w:pPr>
      <w:numPr>
        <w:ilvl w:val="2"/>
        <w:numId w:val="10"/>
      </w:numPr>
      <w:spacing w:before="100" w:line="240" w:lineRule="auto"/>
      <w:contextualSpacing/>
    </w:pPr>
    <w:rPr>
      <w:rFonts w:ascii="Calibri" w:eastAsia="Times New Roman" w:hAnsi="Calibri" w:cs="Calibri"/>
      <w:spacing w:val="0"/>
      <w:sz w:val="22"/>
      <w:szCs w:val="22"/>
    </w:rPr>
  </w:style>
  <w:style w:type="paragraph" w:styleId="ListNumber4">
    <w:name w:val="List Number 4"/>
    <w:basedOn w:val="Normal"/>
    <w:uiPriority w:val="49"/>
    <w:semiHidden/>
    <w:rsid w:val="005476DA"/>
    <w:pPr>
      <w:tabs>
        <w:tab w:val="num" w:pos="1209"/>
      </w:tabs>
      <w:spacing w:before="100" w:line="240" w:lineRule="auto"/>
      <w:ind w:left="1209" w:hanging="360"/>
    </w:pPr>
    <w:rPr>
      <w:rFonts w:ascii="Calibri" w:eastAsia="Times New Roman" w:hAnsi="Calibri" w:cs="Calibri"/>
      <w:spacing w:val="0"/>
      <w:sz w:val="22"/>
      <w:szCs w:val="22"/>
    </w:rPr>
  </w:style>
  <w:style w:type="paragraph" w:styleId="ListNumber5">
    <w:name w:val="List Number 5"/>
    <w:basedOn w:val="Normal"/>
    <w:uiPriority w:val="49"/>
    <w:semiHidden/>
    <w:rsid w:val="005476DA"/>
    <w:pPr>
      <w:tabs>
        <w:tab w:val="num" w:pos="1492"/>
      </w:tabs>
      <w:spacing w:before="100" w:line="240" w:lineRule="auto"/>
      <w:ind w:left="1492" w:hanging="360"/>
    </w:pPr>
    <w:rPr>
      <w:rFonts w:ascii="Calibri" w:eastAsia="Times New Roman" w:hAnsi="Calibri" w:cs="Calibri"/>
      <w:spacing w:val="0"/>
      <w:sz w:val="22"/>
      <w:szCs w:val="22"/>
    </w:rPr>
  </w:style>
  <w:style w:type="paragraph" w:styleId="MacroText">
    <w:name w:val="macro"/>
    <w:link w:val="MacroTextChar"/>
    <w:uiPriority w:val="49"/>
    <w:semiHidden/>
    <w:rsid w:val="005476DA"/>
    <w:pPr>
      <w:spacing w:after="0" w:line="240" w:lineRule="auto"/>
    </w:pPr>
    <w:rPr>
      <w:rFonts w:ascii="Calibri" w:eastAsia="Times New Roman" w:hAnsi="Calibri" w:cs="Calibri"/>
      <w:sz w:val="22"/>
      <w:szCs w:val="22"/>
    </w:rPr>
  </w:style>
  <w:style w:type="character" w:customStyle="1" w:styleId="MacroTextChar">
    <w:name w:val="Macro Text Char"/>
    <w:basedOn w:val="DefaultParagraphFont"/>
    <w:link w:val="MacroText"/>
    <w:uiPriority w:val="49"/>
    <w:semiHidden/>
    <w:rsid w:val="005476DA"/>
    <w:rPr>
      <w:rFonts w:ascii="Calibri" w:eastAsia="Times New Roman" w:hAnsi="Calibri" w:cs="Calibri"/>
      <w:sz w:val="22"/>
      <w:szCs w:val="22"/>
    </w:rPr>
  </w:style>
  <w:style w:type="table" w:styleId="MediumGrid1">
    <w:name w:val="Medium Grid 1"/>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5476DA"/>
    <w:pPr>
      <w:pBdr>
        <w:top w:val="single" w:sz="6" w:space="1" w:color="auto"/>
        <w:left w:val="single" w:sz="6" w:space="1" w:color="auto"/>
        <w:bottom w:val="single" w:sz="6" w:space="1" w:color="auto"/>
        <w:right w:val="single" w:sz="6" w:space="1" w:color="auto"/>
      </w:pBdr>
      <w:shd w:val="pct20" w:color="auto" w:fill="auto"/>
      <w:spacing w:before="100" w:line="240" w:lineRule="auto"/>
      <w:ind w:left="1134" w:hanging="1134"/>
    </w:pPr>
    <w:rPr>
      <w:rFonts w:ascii="Calibri" w:eastAsia="Times New Roman" w:hAnsi="Calibri" w:cs="Calibri"/>
      <w:spacing w:val="0"/>
      <w:sz w:val="24"/>
      <w:szCs w:val="24"/>
    </w:rPr>
  </w:style>
  <w:style w:type="character" w:customStyle="1" w:styleId="MessageHeaderChar">
    <w:name w:val="Message Header Char"/>
    <w:basedOn w:val="DefaultParagraphFont"/>
    <w:link w:val="MessageHeader"/>
    <w:uiPriority w:val="49"/>
    <w:semiHidden/>
    <w:rsid w:val="005476DA"/>
    <w:rPr>
      <w:rFonts w:ascii="Calibri" w:eastAsia="Times New Roman" w:hAnsi="Calibri" w:cs="Calibri"/>
      <w:sz w:val="24"/>
      <w:szCs w:val="24"/>
      <w:shd w:val="pct20" w:color="auto" w:fill="auto"/>
    </w:rPr>
  </w:style>
  <w:style w:type="character" w:styleId="PlaceholderText">
    <w:name w:val="Placeholder Text"/>
    <w:basedOn w:val="DefaultParagraphFont"/>
    <w:uiPriority w:val="99"/>
    <w:semiHidden/>
    <w:rsid w:val="000B672C"/>
    <w:rPr>
      <w:color w:val="808080"/>
    </w:rPr>
  </w:style>
  <w:style w:type="paragraph" w:styleId="PlainText">
    <w:name w:val="Plain Text"/>
    <w:basedOn w:val="Normal"/>
    <w:link w:val="PlainText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PlainTextChar">
    <w:name w:val="Plain Text Char"/>
    <w:basedOn w:val="DefaultParagraphFont"/>
    <w:link w:val="PlainText"/>
    <w:uiPriority w:val="49"/>
    <w:semiHidden/>
    <w:rsid w:val="005476DA"/>
    <w:rPr>
      <w:rFonts w:ascii="Calibri" w:eastAsia="Times New Roman" w:hAnsi="Calibri" w:cs="Calibri"/>
      <w:sz w:val="22"/>
      <w:szCs w:val="22"/>
    </w:rPr>
  </w:style>
  <w:style w:type="paragraph" w:customStyle="1" w:styleId="Quotation">
    <w:name w:val="Quotation"/>
    <w:basedOn w:val="Normal"/>
    <w:next w:val="Normal"/>
    <w:uiPriority w:val="49"/>
    <w:semiHidden/>
    <w:rsid w:val="005476DA"/>
    <w:pPr>
      <w:keepLines/>
      <w:spacing w:before="40" w:line="240" w:lineRule="auto"/>
      <w:ind w:left="794"/>
      <w:jc w:val="center"/>
    </w:pPr>
    <w:rPr>
      <w:rFonts w:ascii="Calibri" w:eastAsia="Times New Roman" w:hAnsi="Calibri" w:cs="Calibri"/>
      <w:i/>
      <w:iCs/>
      <w:color w:val="003399"/>
      <w:spacing w:val="0"/>
      <w:sz w:val="18"/>
      <w:szCs w:val="22"/>
      <w:lang w:eastAsia="en-US"/>
    </w:rPr>
  </w:style>
  <w:style w:type="paragraph" w:customStyle="1" w:styleId="QuoteName">
    <w:name w:val="Quote Name"/>
    <w:basedOn w:val="Normal"/>
    <w:uiPriority w:val="49"/>
    <w:semiHidden/>
    <w:rsid w:val="005476DA"/>
    <w:pPr>
      <w:spacing w:before="100" w:after="0" w:line="240" w:lineRule="auto"/>
      <w:ind w:left="902" w:right="822"/>
      <w:jc w:val="right"/>
    </w:pPr>
    <w:rPr>
      <w:rFonts w:ascii="Calibri" w:eastAsia="Times New Roman" w:hAnsi="Calibri" w:cs="Calibri"/>
      <w:caps/>
      <w:color w:val="800000"/>
      <w:spacing w:val="0"/>
      <w:sz w:val="16"/>
      <w:szCs w:val="22"/>
    </w:rPr>
  </w:style>
  <w:style w:type="paragraph" w:styleId="Salutation">
    <w:name w:val="Salutation"/>
    <w:basedOn w:val="Normal"/>
    <w:next w:val="Normal"/>
    <w:link w:val="Salutation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SalutationChar">
    <w:name w:val="Salutation Char"/>
    <w:basedOn w:val="DefaultParagraphFont"/>
    <w:link w:val="Salutation"/>
    <w:uiPriority w:val="49"/>
    <w:semiHidden/>
    <w:rsid w:val="005476DA"/>
    <w:rPr>
      <w:rFonts w:ascii="Calibri" w:eastAsia="Times New Roman" w:hAnsi="Calibri" w:cs="Calibri"/>
      <w:sz w:val="22"/>
      <w:szCs w:val="22"/>
    </w:rPr>
  </w:style>
  <w:style w:type="paragraph" w:styleId="Signature">
    <w:name w:val="Signature"/>
    <w:basedOn w:val="Normal"/>
    <w:link w:val="SignatureChar"/>
    <w:uiPriority w:val="49"/>
    <w:semiHidden/>
    <w:rsid w:val="005476DA"/>
    <w:pPr>
      <w:spacing w:before="100" w:line="240" w:lineRule="auto"/>
      <w:ind w:left="4252"/>
    </w:pPr>
    <w:rPr>
      <w:rFonts w:ascii="Calibri" w:eastAsia="Times New Roman" w:hAnsi="Calibri" w:cs="Calibri"/>
      <w:spacing w:val="0"/>
      <w:sz w:val="22"/>
      <w:szCs w:val="22"/>
    </w:rPr>
  </w:style>
  <w:style w:type="character" w:customStyle="1" w:styleId="SignatureChar">
    <w:name w:val="Signature Char"/>
    <w:basedOn w:val="DefaultParagraphFont"/>
    <w:link w:val="Signature"/>
    <w:uiPriority w:val="49"/>
    <w:semiHidden/>
    <w:rsid w:val="005476DA"/>
    <w:rPr>
      <w:rFonts w:ascii="Calibri" w:eastAsia="Times New Roman" w:hAnsi="Calibri" w:cs="Calibri"/>
      <w:sz w:val="22"/>
      <w:szCs w:val="22"/>
    </w:rPr>
  </w:style>
  <w:style w:type="table" w:styleId="Table3Deffects1">
    <w:name w:val="Table 3D effects 1"/>
    <w:basedOn w:val="TableNormal"/>
    <w:uiPriority w:val="99"/>
    <w:semiHidden/>
    <w:unhideWhenUsed/>
    <w:rsid w:val="005476DA"/>
    <w:pPr>
      <w:spacing w:before="80" w:after="80" w:line="240" w:lineRule="atLeast"/>
      <w:ind w:left="794"/>
    </w:pPr>
    <w:rPr>
      <w:rFonts w:ascii="Arial" w:eastAsia="Times New Roman" w:hAnsi="Arial"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Grid"/>
    <w:uiPriority w:val="99"/>
    <w:semiHidden/>
    <w:unhideWhenUsed/>
    <w:rsid w:val="005476DA"/>
    <w:pPr>
      <w:spacing w:before="0" w:after="120" w:line="280" w:lineRule="atLeast"/>
      <w:jc w:val="left"/>
    </w:pPr>
    <w:rPr>
      <w:rFonts w:ascii="Calibri" w:eastAsia="Times New Roman" w:hAnsi="Calibri" w:cs="Times New Roman"/>
      <w:spacing w:val="0"/>
      <w:sz w:val="20"/>
      <w:szCs w:val="20"/>
      <w:lang w:eastAsia="en-AU"/>
    </w:rPr>
    <w:tblPr>
      <w:tblStyleRowBandSize w:val="1"/>
      <w:tblInd w:w="907" w:type="dxa"/>
      <w:tblBorders>
        <w:top w:val="single" w:sz="12" w:space="0" w:color="000000"/>
        <w:bottom w:val="single" w:sz="1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blHeader/>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vAlign w:val="bottom"/>
      </w:tcPr>
    </w:tblStylePr>
    <w:tblStylePr w:type="lastRow">
      <w:rPr>
        <w:b/>
        <w:color w:val="auto"/>
      </w:rPr>
      <w:tblPr/>
      <w:tcPr>
        <w:tcBorders>
          <w:top w:val="single" w:sz="6" w:space="0" w:color="000000"/>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1Vert">
      <w:pPr>
        <w:jc w:val="right"/>
      </w:pPr>
    </w:tblStylePr>
    <w:tblStylePr w:type="band2Vert">
      <w:pPr>
        <w:jc w:val="right"/>
      </w:p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76DA"/>
    <w:pPr>
      <w:spacing w:before="80" w:after="80" w:line="240" w:lineRule="atLeast"/>
      <w:ind w:left="794"/>
    </w:pPr>
    <w:rPr>
      <w:rFonts w:ascii="Arial" w:eastAsia="Times New Roman" w:hAnsi="Arial"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76DA"/>
    <w:pPr>
      <w:spacing w:before="80" w:after="80" w:line="240" w:lineRule="atLeast"/>
      <w:ind w:left="794"/>
    </w:pPr>
    <w:rPr>
      <w:rFonts w:ascii="Arial" w:eastAsia="Times New Roman" w:hAnsi="Arial"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76DA"/>
    <w:pPr>
      <w:spacing w:before="80" w:after="80" w:line="240" w:lineRule="atLeast"/>
      <w:ind w:left="794"/>
    </w:pPr>
    <w:rPr>
      <w:rFonts w:ascii="Arial" w:eastAsia="Times New Roman" w:hAnsi="Arial"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76DA"/>
    <w:pPr>
      <w:spacing w:before="80" w:after="80" w:line="240" w:lineRule="atLeast"/>
      <w:ind w:left="794"/>
    </w:pPr>
    <w:rPr>
      <w:rFonts w:ascii="Arial" w:eastAsia="Times New Roman" w:hAnsi="Arial"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76DA"/>
    <w:pPr>
      <w:spacing w:before="80" w:after="80" w:line="240" w:lineRule="atLeast"/>
      <w:ind w:left="794"/>
    </w:pPr>
    <w:rPr>
      <w:rFonts w:ascii="Arial" w:eastAsia="Times New Roman" w:hAnsi="Arial"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76DA"/>
    <w:pPr>
      <w:spacing w:before="80" w:after="80" w:line="240" w:lineRule="atLeast"/>
      <w:ind w:left="794"/>
    </w:pPr>
    <w:rPr>
      <w:rFonts w:ascii="Arial" w:eastAsia="Times New Roman" w:hAnsi="Arial"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76DA"/>
    <w:pPr>
      <w:spacing w:before="80" w:after="80" w:line="240" w:lineRule="atLeast"/>
      <w:ind w:left="794"/>
    </w:pPr>
    <w:rPr>
      <w:rFonts w:ascii="Arial" w:eastAsia="Times New Roman" w:hAnsi="Arial"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76DA"/>
    <w:pPr>
      <w:spacing w:before="80" w:after="80" w:line="240" w:lineRule="atLeast"/>
      <w:ind w:left="794"/>
    </w:pPr>
    <w:rPr>
      <w:rFonts w:ascii="Arial" w:eastAsia="Times New Roman" w:hAnsi="Arial"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5476DA"/>
    <w:pPr>
      <w:spacing w:before="100" w:after="100"/>
      <w:ind w:left="794"/>
      <w:jc w:val="left"/>
    </w:pPr>
    <w:rPr>
      <w:rFonts w:ascii="Calibri" w:eastAsia="Times New Roman" w:hAnsi="Calibri" w:cs="Times New Roman"/>
      <w:spacing w:val="0"/>
      <w:sz w:val="20"/>
      <w:szCs w:val="20"/>
      <w:lang w:eastAsia="en-AU"/>
    </w:rPr>
    <w:tblPr>
      <w:tblStyleRowBandSize w:val="1"/>
      <w:tblInd w:w="907" w:type="dxa"/>
      <w:tblBorders>
        <w:top w:val="single" w:sz="2" w:space="0" w:color="000000"/>
        <w:bottom w:val="single" w:sz="2" w:space="0" w:color="000000"/>
        <w:insideH w:val="single" w:sz="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rPr>
        <w:tblHeader/>
      </w:trPr>
      <w:tcPr>
        <w:tcBorders>
          <w:top w:val="single" w:sz="2" w:space="0" w:color="auto"/>
          <w:left w:val="nil"/>
          <w:bottom w:val="single" w:sz="2" w:space="0" w:color="auto"/>
          <w:right w:val="nil"/>
          <w:insideH w:val="nil"/>
          <w:insideV w:val="nil"/>
          <w:tl2br w:val="nil"/>
          <w:tr2bl w:val="nil"/>
        </w:tcBorders>
        <w:shd w:val="clear" w:color="auto" w:fill="D9D9D9"/>
        <w:vAlign w:val="bottom"/>
      </w:tcPr>
    </w:tblStylePr>
    <w:tblStylePr w:type="lastRow">
      <w:rPr>
        <w:b/>
        <w:i w:val="0"/>
        <w:iCs/>
      </w:rPr>
      <w:tblPr/>
      <w:tcPr>
        <w:tcBorders>
          <w:top w:val="single" w:sz="6" w:space="0" w:color="0063A6" w:themeColor="accent1"/>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nwCell">
      <w:rPr>
        <w:b/>
      </w:rPr>
    </w:tblStylePr>
  </w:style>
  <w:style w:type="table" w:styleId="TableGrid2">
    <w:name w:val="Table Grid 2"/>
    <w:basedOn w:val="TableGrid"/>
    <w:uiPriority w:val="99"/>
    <w:unhideWhenUsed/>
    <w:rsid w:val="005476DA"/>
    <w:pPr>
      <w:spacing w:before="0" w:after="120" w:line="280" w:lineRule="atLeast"/>
      <w:jc w:val="left"/>
    </w:pPr>
    <w:rPr>
      <w:rFonts w:ascii="Calibri" w:eastAsia="Times New Roman" w:hAnsi="Calibri" w:cs="Times New Roman"/>
      <w:spacing w:val="0"/>
      <w:sz w:val="20"/>
      <w:szCs w:val="20"/>
      <w:lang w:eastAsia="en-AU"/>
    </w:rPr>
    <w:tblPr>
      <w:tblStyleRowBandSize w:val="1"/>
      <w:tblInd w:w="907" w:type="dxa"/>
      <w:tblBorders>
        <w:top w:val="single" w:sz="4" w:space="0" w:color="auto"/>
        <w:bottom w:val="single" w:sz="4" w:space="0" w:color="auto"/>
        <w:insideH w:val="single" w:sz="4" w:space="0" w:color="auto"/>
      </w:tblBorders>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rPr>
        <w:tblHeader/>
      </w:trPr>
      <w:tcPr>
        <w:tcBorders>
          <w:top w:val="single" w:sz="4" w:space="0" w:color="auto"/>
          <w:left w:val="nil"/>
          <w:bottom w:val="nil"/>
          <w:right w:val="nil"/>
          <w:insideH w:val="nil"/>
          <w:insideV w:val="nil"/>
          <w:tl2br w:val="nil"/>
          <w:tr2bl w:val="nil"/>
        </w:tcBorders>
        <w:shd w:val="clear" w:color="auto" w:fill="D9D9D9"/>
        <w:vAlign w:val="bottom"/>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pPr>
        <w:jc w:val="left"/>
      </w:pPr>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76DA"/>
    <w:pPr>
      <w:spacing w:before="80" w:after="80" w:line="240" w:lineRule="atLeast"/>
      <w:ind w:left="794"/>
    </w:pPr>
    <w:rPr>
      <w:rFonts w:ascii="Arial" w:eastAsia="Times New Roman" w:hAnsi="Arial"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76DA"/>
    <w:pPr>
      <w:spacing w:before="80" w:after="80" w:line="240" w:lineRule="atLeast"/>
      <w:ind w:left="794"/>
    </w:pPr>
    <w:rPr>
      <w:rFonts w:ascii="Arial" w:eastAsia="Times New Roman" w:hAnsi="Arial"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5476DA"/>
    <w:pPr>
      <w:tabs>
        <w:tab w:val="right" w:pos="9072"/>
      </w:tabs>
      <w:spacing w:before="100" w:line="240" w:lineRule="auto"/>
      <w:ind w:left="200" w:hanging="200"/>
    </w:pPr>
    <w:rPr>
      <w:rFonts w:ascii="Calibri" w:eastAsia="Times New Roman" w:hAnsi="Calibri" w:cs="Calibri"/>
      <w:spacing w:val="0"/>
      <w:sz w:val="22"/>
      <w:szCs w:val="22"/>
    </w:rPr>
  </w:style>
  <w:style w:type="paragraph" w:styleId="TableofFigures">
    <w:name w:val="table of figures"/>
    <w:basedOn w:val="TOCHeading"/>
    <w:next w:val="Normal"/>
    <w:uiPriority w:val="99"/>
    <w:semiHidden/>
    <w:unhideWhenUsed/>
    <w:rsid w:val="005476DA"/>
    <w:pPr>
      <w:keepLines w:val="0"/>
      <w:pageBreakBefore/>
      <w:spacing w:before="0" w:after="0" w:line="240" w:lineRule="auto"/>
    </w:pPr>
    <w:rPr>
      <w:rFonts w:ascii="Calibri" w:eastAsia="Times New Roman" w:hAnsi="Calibri" w:cs="Calibri"/>
      <w:b w:val="0"/>
      <w:bCs w:val="0"/>
      <w:color w:val="4C4C4C"/>
      <w:spacing w:val="0"/>
      <w:sz w:val="40"/>
      <w:szCs w:val="22"/>
    </w:rPr>
  </w:style>
  <w:style w:type="table" w:styleId="TableProfessional">
    <w:name w:val="Table Professional"/>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76DA"/>
    <w:pPr>
      <w:spacing w:before="80" w:after="80" w:line="240" w:lineRule="atLeast"/>
      <w:ind w:left="794"/>
    </w:pPr>
    <w:rPr>
      <w:rFonts w:ascii="Arial" w:eastAsia="Times New Roman" w:hAnsi="Arial"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76DA"/>
    <w:pPr>
      <w:spacing w:before="80" w:after="80" w:line="240" w:lineRule="atLeast"/>
      <w:ind w:left="794"/>
    </w:pPr>
    <w:rPr>
      <w:rFonts w:ascii="Arial" w:eastAsia="Times New Roman" w:hAnsi="Arial"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76DA"/>
    <w:pPr>
      <w:spacing w:before="80" w:after="80" w:line="240" w:lineRule="atLeast"/>
      <w:ind w:left="794"/>
    </w:pPr>
    <w:rPr>
      <w:rFonts w:ascii="Arial" w:eastAsia="Times New Roman" w:hAnsi="Arial"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76DA"/>
    <w:pPr>
      <w:spacing w:before="80" w:after="80" w:line="240" w:lineRule="atLeast"/>
      <w:ind w:left="794"/>
    </w:pPr>
    <w:rPr>
      <w:rFonts w:ascii="Arial" w:eastAsia="Times New Roman" w:hAnsi="Arial"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76DA"/>
    <w:pPr>
      <w:spacing w:before="80" w:after="80" w:line="240" w:lineRule="atLeast"/>
      <w:ind w:left="794"/>
    </w:pPr>
    <w:rPr>
      <w:rFonts w:ascii="Arial" w:eastAsia="Times New Roman" w:hAnsi="Arial"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5476DA"/>
    <w:pPr>
      <w:spacing w:before="120" w:line="240" w:lineRule="auto"/>
      <w:ind w:left="794"/>
    </w:pPr>
    <w:rPr>
      <w:rFonts w:ascii="Calibri" w:eastAsia="Times New Roman" w:hAnsi="Calibri" w:cs="Calibri"/>
      <w:b/>
      <w:bCs/>
      <w:spacing w:val="0"/>
      <w:sz w:val="24"/>
      <w:szCs w:val="24"/>
    </w:rPr>
  </w:style>
  <w:style w:type="paragraph" w:styleId="TOC7">
    <w:name w:val="toc 7"/>
    <w:basedOn w:val="Normal"/>
    <w:next w:val="Normal"/>
    <w:autoRedefine/>
    <w:uiPriority w:val="39"/>
    <w:rsid w:val="005476DA"/>
    <w:pPr>
      <w:spacing w:before="100" w:line="240" w:lineRule="auto"/>
      <w:ind w:left="1440"/>
    </w:pPr>
    <w:rPr>
      <w:rFonts w:ascii="Calibri" w:eastAsia="Times New Roman" w:hAnsi="Calibri" w:cs="Calibri"/>
      <w:spacing w:val="0"/>
      <w:sz w:val="22"/>
      <w:szCs w:val="22"/>
    </w:rPr>
  </w:style>
  <w:style w:type="paragraph" w:styleId="TOC8">
    <w:name w:val="toc 8"/>
    <w:basedOn w:val="Normal"/>
    <w:next w:val="Normal"/>
    <w:autoRedefine/>
    <w:uiPriority w:val="39"/>
    <w:rsid w:val="005476DA"/>
    <w:pPr>
      <w:spacing w:before="100" w:line="240" w:lineRule="auto"/>
      <w:ind w:left="1680"/>
    </w:pPr>
    <w:rPr>
      <w:rFonts w:ascii="Calibri" w:eastAsia="Times New Roman" w:hAnsi="Calibri" w:cs="Calibri"/>
      <w:spacing w:val="0"/>
      <w:sz w:val="22"/>
      <w:szCs w:val="22"/>
    </w:rPr>
  </w:style>
  <w:style w:type="paragraph" w:styleId="TOC9">
    <w:name w:val="toc 9"/>
    <w:basedOn w:val="Normal"/>
    <w:next w:val="Normal"/>
    <w:autoRedefine/>
    <w:uiPriority w:val="39"/>
    <w:rsid w:val="005476DA"/>
    <w:pPr>
      <w:spacing w:before="100" w:line="240" w:lineRule="auto"/>
      <w:ind w:left="2835" w:right="2835"/>
    </w:pPr>
    <w:rPr>
      <w:rFonts w:ascii="Calibri" w:eastAsia="Times New Roman" w:hAnsi="Calibri" w:cs="Calibri"/>
      <w:spacing w:val="0"/>
      <w:sz w:val="22"/>
      <w:szCs w:val="22"/>
    </w:rPr>
  </w:style>
  <w:style w:type="paragraph" w:styleId="Revision">
    <w:name w:val="Revision"/>
    <w:hidden/>
    <w:uiPriority w:val="99"/>
    <w:semiHidden/>
    <w:rsid w:val="005476DA"/>
    <w:pPr>
      <w:spacing w:after="0" w:line="240" w:lineRule="auto"/>
    </w:pPr>
    <w:rPr>
      <w:rFonts w:ascii="Calibri" w:eastAsia="Times New Roman" w:hAnsi="Calibri" w:cs="Calibri"/>
      <w:sz w:val="22"/>
      <w:szCs w:val="22"/>
    </w:rPr>
  </w:style>
  <w:style w:type="paragraph" w:styleId="NormalWeb">
    <w:name w:val="Normal (Web)"/>
    <w:basedOn w:val="Normal"/>
    <w:uiPriority w:val="99"/>
    <w:semiHidden/>
    <w:unhideWhenUsed/>
    <w:rsid w:val="005476DA"/>
    <w:pPr>
      <w:spacing w:before="100" w:beforeAutospacing="1" w:afterAutospacing="1" w:line="240" w:lineRule="auto"/>
    </w:pPr>
    <w:rPr>
      <w:rFonts w:ascii="Times New Roman" w:hAnsi="Times New Roman" w:cs="Times New Roman"/>
      <w:spacing w:val="0"/>
      <w:sz w:val="24"/>
      <w:szCs w:val="24"/>
    </w:rPr>
  </w:style>
  <w:style w:type="paragraph" w:customStyle="1" w:styleId="Normalhanging">
    <w:name w:val="Normal hanging"/>
    <w:basedOn w:val="NormalIndent"/>
    <w:qFormat/>
    <w:rsid w:val="001D07DE"/>
    <w:pPr>
      <w:ind w:left="1260" w:hanging="540"/>
    </w:pPr>
  </w:style>
  <w:style w:type="paragraph" w:styleId="ListParagraph">
    <w:name w:val="List Paragraph"/>
    <w:basedOn w:val="Normal"/>
    <w:uiPriority w:val="34"/>
    <w:qFormat/>
    <w:rsid w:val="000B672C"/>
    <w:pPr>
      <w:ind w:left="720"/>
      <w:contextualSpacing/>
    </w:pPr>
  </w:style>
  <w:style w:type="table" w:customStyle="1" w:styleId="DTFfinancialtable">
    <w:name w:val="DTF financial table"/>
    <w:basedOn w:val="TableGrid"/>
    <w:uiPriority w:val="99"/>
    <w:rsid w:val="000B672C"/>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0B672C"/>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0B672C"/>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oteNormalindent">
    <w:name w:val="Note Normal indent"/>
    <w:basedOn w:val="NoteNormal"/>
    <w:uiPriority w:val="9"/>
    <w:rsid w:val="000B672C"/>
    <w:pPr>
      <w:ind w:left="792"/>
    </w:pPr>
  </w:style>
  <w:style w:type="paragraph" w:customStyle="1" w:styleId="Tablenum1">
    <w:name w:val="Table num 1"/>
    <w:basedOn w:val="Normal"/>
    <w:uiPriority w:val="6"/>
    <w:rsid w:val="000B672C"/>
    <w:pPr>
      <w:numPr>
        <w:ilvl w:val="2"/>
        <w:numId w:val="2"/>
      </w:numPr>
      <w:spacing w:before="60" w:after="60"/>
    </w:pPr>
    <w:rPr>
      <w:sz w:val="17"/>
    </w:rPr>
  </w:style>
  <w:style w:type="paragraph" w:customStyle="1" w:styleId="Tablenum2">
    <w:name w:val="Table num 2"/>
    <w:basedOn w:val="Normal"/>
    <w:uiPriority w:val="6"/>
    <w:rsid w:val="000B672C"/>
    <w:pPr>
      <w:numPr>
        <w:ilvl w:val="3"/>
        <w:numId w:val="2"/>
      </w:numPr>
      <w:spacing w:before="60" w:after="60"/>
    </w:pPr>
    <w:rPr>
      <w:sz w:val="17"/>
    </w:rPr>
  </w:style>
  <w:style w:type="paragraph" w:customStyle="1" w:styleId="Tablechartdiagramheading">
    <w:name w:val="Table/chart/diagram heading"/>
    <w:uiPriority w:val="4"/>
    <w:qFormat/>
    <w:rsid w:val="000B672C"/>
    <w:pPr>
      <w:tabs>
        <w:tab w:val="left" w:pos="1080"/>
      </w:tabs>
      <w:spacing w:before="160" w:after="100"/>
    </w:pPr>
    <w:rPr>
      <w:b/>
      <w:bCs/>
      <w:color w:val="0063A6" w:themeColor="accent1"/>
      <w:spacing w:val="2"/>
      <w:sz w:val="18"/>
      <w:szCs w:val="18"/>
    </w:rPr>
  </w:style>
  <w:style w:type="table" w:customStyle="1" w:styleId="DTFtexttable1">
    <w:name w:val="DTF text table1"/>
    <w:basedOn w:val="TableGrid"/>
    <w:uiPriority w:val="99"/>
    <w:rsid w:val="00D174DC"/>
    <w:pPr>
      <w:spacing w:before="30" w:after="30" w:line="264" w:lineRule="auto"/>
      <w:jc w:val="left"/>
    </w:pPr>
    <w:tblPr>
      <w:tblStyleRowBandSize w:val="1"/>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Mandatory1">
    <w:name w:val="Mandatory1"/>
    <w:basedOn w:val="TableGrid"/>
    <w:uiPriority w:val="99"/>
    <w:rsid w:val="00D174DC"/>
    <w:pPr>
      <w:spacing w:before="30" w:after="30" w:line="264" w:lineRule="auto"/>
      <w:jc w:val="left"/>
    </w:pPr>
    <w:tblPr>
      <w:tblStyleRowBandSize w:val="1"/>
      <w:tblInd w:w="864" w:type="dxa"/>
      <w:tblBorders>
        <w:top w:val="single" w:sz="6" w:space="0" w:color="0063A6" w:themeColor="accent1"/>
        <w:left w:val="single" w:sz="6" w:space="0" w:color="0063A6" w:themeColor="accent1"/>
        <w:bottom w:val="single" w:sz="6" w:space="0" w:color="0063A6" w:themeColor="accent1"/>
        <w:right w:val="single" w:sz="6" w:space="0" w:color="0063A6" w:themeColor="accent1"/>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11">
    <w:name w:val="DTF text table11"/>
    <w:basedOn w:val="TableGrid"/>
    <w:uiPriority w:val="99"/>
    <w:rsid w:val="00FD7EE7"/>
    <w:pPr>
      <w:spacing w:before="30" w:after="30" w:line="264" w:lineRule="auto"/>
      <w:jc w:val="left"/>
    </w:pPr>
    <w:tblPr>
      <w:tblStyleRowBandSize w:val="1"/>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styleId="SubtleReference">
    <w:name w:val="Subtle Reference"/>
    <w:basedOn w:val="DefaultParagraphFont"/>
    <w:uiPriority w:val="31"/>
    <w:qFormat/>
    <w:rsid w:val="009A1BD1"/>
    <w:rPr>
      <w:smallCaps/>
      <w:color w:val="5A5A5A" w:themeColor="text1" w:themeTint="A5"/>
    </w:rPr>
  </w:style>
  <w:style w:type="paragraph" w:customStyle="1" w:styleId="Heading3indent">
    <w:name w:val="Heading 3 indent"/>
    <w:basedOn w:val="Heading3"/>
    <w:qFormat/>
    <w:rsid w:val="000B672C"/>
    <w:pPr>
      <w:ind w:left="792"/>
    </w:pPr>
  </w:style>
  <w:style w:type="paragraph" w:customStyle="1" w:styleId="Heading2indent">
    <w:name w:val="Heading 2 indent"/>
    <w:basedOn w:val="Heading2"/>
    <w:qFormat/>
    <w:rsid w:val="000B672C"/>
    <w:pPr>
      <w:ind w:left="7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02342">
      <w:bodyDiv w:val="1"/>
      <w:marLeft w:val="0"/>
      <w:marRight w:val="0"/>
      <w:marTop w:val="0"/>
      <w:marBottom w:val="0"/>
      <w:divBdr>
        <w:top w:val="none" w:sz="0" w:space="0" w:color="auto"/>
        <w:left w:val="none" w:sz="0" w:space="0" w:color="auto"/>
        <w:bottom w:val="none" w:sz="0" w:space="0" w:color="auto"/>
        <w:right w:val="none" w:sz="0" w:space="0" w:color="auto"/>
      </w:divBdr>
    </w:div>
    <w:div w:id="18253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rmation@dtf.vic.gov.au" TargetMode="External"/><Relationship Id="rId18" Type="http://schemas.openxmlformats.org/officeDocument/2006/relationships/footer" Target="footer2.xml"/><Relationship Id="rId26" Type="http://schemas.openxmlformats.org/officeDocument/2006/relationships/hyperlink" Target="mailto:financial.frameworks@dtf.vic.gov.au" TargetMode="Externa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header" Target="header16.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oleObject" Target="embeddings/Microsoft_Excel_97-2003_Worksheet1.xls"/><Relationship Id="rId38" Type="http://schemas.openxmlformats.org/officeDocument/2006/relationships/image" Target="media/image10.png"/><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8.png"/><Relationship Id="rId41" Type="http://schemas.openxmlformats.org/officeDocument/2006/relationships/footer" Target="footer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5.xml"/><Relationship Id="rId32" Type="http://schemas.openxmlformats.org/officeDocument/2006/relationships/image" Target="media/image9.emf"/><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eader" Target="header13.xml"/><Relationship Id="rId53" Type="http://schemas.openxmlformats.org/officeDocument/2006/relationships/header" Target="header17.xml"/><Relationship Id="rId58"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7.png"/><Relationship Id="rId36" Type="http://schemas.openxmlformats.org/officeDocument/2006/relationships/footer" Target="footer7.xml"/><Relationship Id="rId49" Type="http://schemas.openxmlformats.org/officeDocument/2006/relationships/header" Target="header15.xml"/><Relationship Id="rId57" Type="http://schemas.microsoft.com/office/2011/relationships/people" Target="people.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hyperlink" Target="http://www.dtf.vic.gov.au/Investment-Planning-and-Evaluation/Understanding-investment-planning-and-review/What-is-asset-management" TargetMode="External"/><Relationship Id="rId44" Type="http://schemas.openxmlformats.org/officeDocument/2006/relationships/header" Target="header12.xml"/><Relationship Id="rId52"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eader" Target="header5.xml"/><Relationship Id="rId27" Type="http://schemas.openxmlformats.org/officeDocument/2006/relationships/image" Target="media/image6.png"/><Relationship Id="rId30" Type="http://schemas.openxmlformats.org/officeDocument/2006/relationships/hyperlink" Target="http://www.dtf.vic.gov.au/files/59dbf6a1-065b-46ff-b05b-a1cd00d808f2/FRD-17B-Wage-inflation-and-discount-rates.docx" TargetMode="External"/><Relationship Id="rId35" Type="http://schemas.openxmlformats.org/officeDocument/2006/relationships/footer" Target="footer6.xml"/><Relationship Id="rId43" Type="http://schemas.openxmlformats.org/officeDocument/2006/relationships/header" Target="header11.xml"/><Relationship Id="rId48" Type="http://schemas.openxmlformats.org/officeDocument/2006/relationships/header" Target="header14.xml"/><Relationship Id="rId8" Type="http://schemas.openxmlformats.org/officeDocument/2006/relationships/endnotes" Target="endnotes.xml"/><Relationship Id="rId51" Type="http://schemas.openxmlformats.org/officeDocument/2006/relationships/footer" Target="footer12.xml"/><Relationship Id="rId3" Type="http://schemas.openxmlformats.org/officeDocument/2006/relationships/styles" Target="styles.xml"/></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coag.gov.au/the_federal_financial_relations_framework" TargetMode="External"/></Relationships>
</file>

<file path=word/_rels/header10.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1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2B11-B377-4C9A-B386-9648ADB3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1</TotalTime>
  <Pages>76</Pages>
  <Words>22953</Words>
  <Characters>130835</Characters>
  <Application>Microsoft Office Word</Application>
  <DocSecurity>4</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153482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Stephanie Mizzi</cp:lastModifiedBy>
  <cp:revision>2</cp:revision>
  <cp:lastPrinted>2017-03-08T02:03:00Z</cp:lastPrinted>
  <dcterms:created xsi:type="dcterms:W3CDTF">2017-07-25T01:05:00Z</dcterms:created>
  <dcterms:modified xsi:type="dcterms:W3CDTF">2017-07-25T01:05:00Z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7d5cbd00-a296-4692-a808-aa03891bd392</vt:lpwstr>
  </property>
  <property fmtid="{D5CDD505-2E9C-101B-9397-08002B2CF9AE}" pid="3" name="PSPFClassification">
    <vt:lpwstr>Do Not Mark</vt:lpwstr>
  </property>
</Properties>
</file>