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A730BA" w:rsidRDefault="00F704B1" w:rsidP="00AF3F3D">
      <w:pPr>
        <w:pStyle w:val="Title"/>
      </w:pPr>
      <w:bookmarkStart w:id="0" w:name="_Toc442780672"/>
      <w:bookmarkStart w:id="1" w:name="_GoBack"/>
      <w:bookmarkEnd w:id="1"/>
      <w:r w:rsidRPr="00242EB0">
        <w:t xml:space="preserve">Attachment </w:t>
      </w:r>
      <w:r w:rsidR="00E046D1">
        <w:t>E</w:t>
      </w:r>
      <w:r w:rsidRPr="00242EB0">
        <w:t xml:space="preserve">: </w:t>
      </w:r>
      <w:r w:rsidR="00AB5B01">
        <w:t>201</w:t>
      </w:r>
      <w:r w:rsidR="00E046D1">
        <w:t>8</w:t>
      </w:r>
      <w:r w:rsidR="00AB5B01">
        <w:t>-1</w:t>
      </w:r>
      <w:r w:rsidR="00E046D1">
        <w:t>9</w:t>
      </w:r>
      <w:r w:rsidR="00AB5B01">
        <w:t xml:space="preserve"> budget submission and template – a</w:t>
      </w:r>
      <w:r w:rsidRPr="00242EB0">
        <w:t>dditional guidance</w:t>
      </w:r>
    </w:p>
    <w:p w:rsidR="00CE2B13" w:rsidRDefault="00CE2B13" w:rsidP="00CE2B13">
      <w:pPr>
        <w:pStyle w:val="TOCHeading"/>
      </w:pPr>
      <w:bookmarkStart w:id="2" w:name="_Toc467138377"/>
      <w:bookmarkEnd w:id="0"/>
      <w:r>
        <w:t>Contents</w:t>
      </w:r>
    </w:p>
    <w:p w:rsidR="00A04984" w:rsidRDefault="00CE2B13">
      <w:pPr>
        <w:pStyle w:val="TOC1"/>
        <w:tabs>
          <w:tab w:val="left" w:pos="446"/>
        </w:tabs>
        <w:rPr>
          <w:noProof/>
          <w:spacing w:val="0"/>
          <w:sz w:val="22"/>
          <w:szCs w:val="22"/>
        </w:rPr>
      </w:pPr>
      <w:r>
        <w:fldChar w:fldCharType="begin"/>
      </w:r>
      <w:r>
        <w:instrText xml:space="preserve"> TOC \h \z \u \t "Heading 1 numbered,1,Heading 2,2,Heading 3,3" </w:instrText>
      </w:r>
      <w:r>
        <w:fldChar w:fldCharType="separate"/>
      </w:r>
      <w:hyperlink w:anchor="_Toc492466338" w:history="1">
        <w:r w:rsidR="00A04984" w:rsidRPr="0025083B">
          <w:rPr>
            <w:rStyle w:val="Hyperlink"/>
            <w:noProof/>
            <w:lang w:eastAsia="en-US"/>
          </w:rPr>
          <w:t>1.</w:t>
        </w:r>
        <w:r w:rsidR="00A04984">
          <w:rPr>
            <w:noProof/>
            <w:spacing w:val="0"/>
            <w:sz w:val="22"/>
            <w:szCs w:val="22"/>
          </w:rPr>
          <w:tab/>
        </w:r>
        <w:r w:rsidR="00A04984" w:rsidRPr="0025083B">
          <w:rPr>
            <w:rStyle w:val="Hyperlink"/>
            <w:noProof/>
            <w:lang w:eastAsia="en-US"/>
          </w:rPr>
          <w:t>Location information</w:t>
        </w:r>
        <w:r w:rsidR="00A04984">
          <w:rPr>
            <w:noProof/>
            <w:webHidden/>
          </w:rPr>
          <w:tab/>
        </w:r>
        <w:r w:rsidR="00A04984">
          <w:rPr>
            <w:noProof/>
            <w:webHidden/>
          </w:rPr>
          <w:fldChar w:fldCharType="begin"/>
        </w:r>
        <w:r w:rsidR="00A04984">
          <w:rPr>
            <w:noProof/>
            <w:webHidden/>
          </w:rPr>
          <w:instrText xml:space="preserve"> PAGEREF _Toc492466338 \h </w:instrText>
        </w:r>
        <w:r w:rsidR="00A04984">
          <w:rPr>
            <w:noProof/>
            <w:webHidden/>
          </w:rPr>
        </w:r>
        <w:r w:rsidR="00A04984">
          <w:rPr>
            <w:noProof/>
            <w:webHidden/>
          </w:rPr>
          <w:fldChar w:fldCharType="separate"/>
        </w:r>
        <w:r w:rsidR="00A27726">
          <w:rPr>
            <w:noProof/>
            <w:webHidden/>
          </w:rPr>
          <w:t>2</w:t>
        </w:r>
        <w:r w:rsidR="00A04984">
          <w:rPr>
            <w:noProof/>
            <w:webHidden/>
          </w:rPr>
          <w:fldChar w:fldCharType="end"/>
        </w:r>
      </w:hyperlink>
    </w:p>
    <w:p w:rsidR="00A04984" w:rsidRDefault="00394FD2">
      <w:pPr>
        <w:pStyle w:val="TOC1"/>
        <w:tabs>
          <w:tab w:val="left" w:pos="446"/>
        </w:tabs>
        <w:rPr>
          <w:noProof/>
          <w:spacing w:val="0"/>
          <w:sz w:val="22"/>
          <w:szCs w:val="22"/>
        </w:rPr>
      </w:pPr>
      <w:hyperlink w:anchor="_Toc492466339" w:history="1">
        <w:r w:rsidR="00A04984" w:rsidRPr="0025083B">
          <w:rPr>
            <w:rStyle w:val="Hyperlink"/>
            <w:noProof/>
            <w:lang w:eastAsia="en-US"/>
          </w:rPr>
          <w:t>2.</w:t>
        </w:r>
        <w:r w:rsidR="00A04984">
          <w:rPr>
            <w:noProof/>
            <w:spacing w:val="0"/>
            <w:sz w:val="22"/>
            <w:szCs w:val="22"/>
          </w:rPr>
          <w:tab/>
        </w:r>
        <w:r w:rsidR="00A04984" w:rsidRPr="0025083B">
          <w:rPr>
            <w:rStyle w:val="Hyperlink"/>
            <w:noProof/>
            <w:lang w:eastAsia="en-US"/>
          </w:rPr>
          <w:t>Costing guidance</w:t>
        </w:r>
        <w:r w:rsidR="00A04984">
          <w:rPr>
            <w:noProof/>
            <w:webHidden/>
          </w:rPr>
          <w:tab/>
        </w:r>
        <w:r w:rsidR="00A04984">
          <w:rPr>
            <w:noProof/>
            <w:webHidden/>
          </w:rPr>
          <w:fldChar w:fldCharType="begin"/>
        </w:r>
        <w:r w:rsidR="00A04984">
          <w:rPr>
            <w:noProof/>
            <w:webHidden/>
          </w:rPr>
          <w:instrText xml:space="preserve"> PAGEREF _Toc492466339 \h </w:instrText>
        </w:r>
        <w:r w:rsidR="00A04984">
          <w:rPr>
            <w:noProof/>
            <w:webHidden/>
          </w:rPr>
        </w:r>
        <w:r w:rsidR="00A04984">
          <w:rPr>
            <w:noProof/>
            <w:webHidden/>
          </w:rPr>
          <w:fldChar w:fldCharType="separate"/>
        </w:r>
        <w:r w:rsidR="00A27726">
          <w:rPr>
            <w:noProof/>
            <w:webHidden/>
          </w:rPr>
          <w:t>2</w:t>
        </w:r>
        <w:r w:rsidR="00A04984">
          <w:rPr>
            <w:noProof/>
            <w:webHidden/>
          </w:rPr>
          <w:fldChar w:fldCharType="end"/>
        </w:r>
      </w:hyperlink>
    </w:p>
    <w:p w:rsidR="00A04984" w:rsidRDefault="00394FD2">
      <w:pPr>
        <w:pStyle w:val="TOC2"/>
        <w:rPr>
          <w:spacing w:val="0"/>
          <w:sz w:val="22"/>
          <w:szCs w:val="22"/>
        </w:rPr>
      </w:pPr>
      <w:hyperlink w:anchor="_Toc492466340" w:history="1">
        <w:r w:rsidR="00A04984" w:rsidRPr="0025083B">
          <w:rPr>
            <w:rStyle w:val="Hyperlink"/>
          </w:rPr>
          <w:t>Staffing costs</w:t>
        </w:r>
        <w:r w:rsidR="00A04984">
          <w:rPr>
            <w:webHidden/>
          </w:rPr>
          <w:tab/>
        </w:r>
        <w:r w:rsidR="00A04984">
          <w:rPr>
            <w:webHidden/>
          </w:rPr>
          <w:fldChar w:fldCharType="begin"/>
        </w:r>
        <w:r w:rsidR="00A04984">
          <w:rPr>
            <w:webHidden/>
          </w:rPr>
          <w:instrText xml:space="preserve"> PAGEREF _Toc492466340 \h </w:instrText>
        </w:r>
        <w:r w:rsidR="00A04984">
          <w:rPr>
            <w:webHidden/>
          </w:rPr>
        </w:r>
        <w:r w:rsidR="00A04984">
          <w:rPr>
            <w:webHidden/>
          </w:rPr>
          <w:fldChar w:fldCharType="separate"/>
        </w:r>
        <w:r w:rsidR="00A27726">
          <w:rPr>
            <w:webHidden/>
          </w:rPr>
          <w:t>3</w:t>
        </w:r>
        <w:r w:rsidR="00A04984">
          <w:rPr>
            <w:webHidden/>
          </w:rPr>
          <w:fldChar w:fldCharType="end"/>
        </w:r>
      </w:hyperlink>
    </w:p>
    <w:p w:rsidR="00A04984" w:rsidRDefault="00394FD2">
      <w:pPr>
        <w:pStyle w:val="TOC3"/>
        <w:rPr>
          <w:spacing w:val="0"/>
          <w:sz w:val="22"/>
          <w:szCs w:val="22"/>
        </w:rPr>
      </w:pPr>
      <w:hyperlink w:anchor="_Toc492466341" w:history="1">
        <w:r w:rsidR="00A04984" w:rsidRPr="0025083B">
          <w:rPr>
            <w:rStyle w:val="Hyperlink"/>
          </w:rPr>
          <w:t>Standard costing model for VPS staff</w:t>
        </w:r>
        <w:r w:rsidR="00A04984">
          <w:rPr>
            <w:webHidden/>
          </w:rPr>
          <w:tab/>
        </w:r>
        <w:r w:rsidR="00A04984">
          <w:rPr>
            <w:webHidden/>
          </w:rPr>
          <w:fldChar w:fldCharType="begin"/>
        </w:r>
        <w:r w:rsidR="00A04984">
          <w:rPr>
            <w:webHidden/>
          </w:rPr>
          <w:instrText xml:space="preserve"> PAGEREF _Toc492466341 \h </w:instrText>
        </w:r>
        <w:r w:rsidR="00A04984">
          <w:rPr>
            <w:webHidden/>
          </w:rPr>
        </w:r>
        <w:r w:rsidR="00A04984">
          <w:rPr>
            <w:webHidden/>
          </w:rPr>
          <w:fldChar w:fldCharType="separate"/>
        </w:r>
        <w:r w:rsidR="00A27726">
          <w:rPr>
            <w:webHidden/>
          </w:rPr>
          <w:t>3</w:t>
        </w:r>
        <w:r w:rsidR="00A04984">
          <w:rPr>
            <w:webHidden/>
          </w:rPr>
          <w:fldChar w:fldCharType="end"/>
        </w:r>
      </w:hyperlink>
    </w:p>
    <w:p w:rsidR="00A04984" w:rsidRDefault="00394FD2">
      <w:pPr>
        <w:pStyle w:val="TOC3"/>
        <w:rPr>
          <w:spacing w:val="0"/>
          <w:sz w:val="22"/>
          <w:szCs w:val="22"/>
        </w:rPr>
      </w:pPr>
      <w:hyperlink w:anchor="_Toc492466342" w:history="1">
        <w:r w:rsidR="00A04984" w:rsidRPr="0025083B">
          <w:rPr>
            <w:rStyle w:val="Hyperlink"/>
          </w:rPr>
          <w:t>Notes to the Standard costing model for VPS staff</w:t>
        </w:r>
        <w:r w:rsidR="00A04984">
          <w:rPr>
            <w:webHidden/>
          </w:rPr>
          <w:tab/>
        </w:r>
        <w:r w:rsidR="00A04984">
          <w:rPr>
            <w:webHidden/>
          </w:rPr>
          <w:fldChar w:fldCharType="begin"/>
        </w:r>
        <w:r w:rsidR="00A04984">
          <w:rPr>
            <w:webHidden/>
          </w:rPr>
          <w:instrText xml:space="preserve"> PAGEREF _Toc492466342 \h </w:instrText>
        </w:r>
        <w:r w:rsidR="00A04984">
          <w:rPr>
            <w:webHidden/>
          </w:rPr>
        </w:r>
        <w:r w:rsidR="00A04984">
          <w:rPr>
            <w:webHidden/>
          </w:rPr>
          <w:fldChar w:fldCharType="separate"/>
        </w:r>
        <w:r w:rsidR="00A27726">
          <w:rPr>
            <w:webHidden/>
          </w:rPr>
          <w:t>6</w:t>
        </w:r>
        <w:r w:rsidR="00A04984">
          <w:rPr>
            <w:webHidden/>
          </w:rPr>
          <w:fldChar w:fldCharType="end"/>
        </w:r>
      </w:hyperlink>
    </w:p>
    <w:p w:rsidR="00A04984" w:rsidRDefault="00394FD2">
      <w:pPr>
        <w:pStyle w:val="TOC2"/>
        <w:rPr>
          <w:spacing w:val="0"/>
          <w:sz w:val="22"/>
          <w:szCs w:val="22"/>
        </w:rPr>
      </w:pPr>
      <w:hyperlink w:anchor="_Toc492466343" w:history="1">
        <w:r w:rsidR="00A04984" w:rsidRPr="0025083B">
          <w:rPr>
            <w:rStyle w:val="Hyperlink"/>
          </w:rPr>
          <w:t>Other policy and program specific costs</w:t>
        </w:r>
        <w:r w:rsidR="00A04984">
          <w:rPr>
            <w:webHidden/>
          </w:rPr>
          <w:tab/>
        </w:r>
        <w:r w:rsidR="00A04984">
          <w:rPr>
            <w:webHidden/>
          </w:rPr>
          <w:fldChar w:fldCharType="begin"/>
        </w:r>
        <w:r w:rsidR="00A04984">
          <w:rPr>
            <w:webHidden/>
          </w:rPr>
          <w:instrText xml:space="preserve"> PAGEREF _Toc492466343 \h </w:instrText>
        </w:r>
        <w:r w:rsidR="00A04984">
          <w:rPr>
            <w:webHidden/>
          </w:rPr>
        </w:r>
        <w:r w:rsidR="00A04984">
          <w:rPr>
            <w:webHidden/>
          </w:rPr>
          <w:fldChar w:fldCharType="separate"/>
        </w:r>
        <w:r w:rsidR="00A27726">
          <w:rPr>
            <w:webHidden/>
          </w:rPr>
          <w:t>7</w:t>
        </w:r>
        <w:r w:rsidR="00A04984">
          <w:rPr>
            <w:webHidden/>
          </w:rPr>
          <w:fldChar w:fldCharType="end"/>
        </w:r>
      </w:hyperlink>
    </w:p>
    <w:p w:rsidR="00A04984" w:rsidRDefault="00394FD2">
      <w:pPr>
        <w:pStyle w:val="TOC3"/>
        <w:rPr>
          <w:spacing w:val="0"/>
          <w:sz w:val="22"/>
          <w:szCs w:val="22"/>
        </w:rPr>
      </w:pPr>
      <w:hyperlink w:anchor="_Toc492466344" w:history="1">
        <w:r w:rsidR="00A04984" w:rsidRPr="0025083B">
          <w:rPr>
            <w:rStyle w:val="Hyperlink"/>
          </w:rPr>
          <w:t>Costing guiding principles</w:t>
        </w:r>
        <w:r w:rsidR="00A04984">
          <w:rPr>
            <w:webHidden/>
          </w:rPr>
          <w:tab/>
        </w:r>
        <w:r w:rsidR="00A04984">
          <w:rPr>
            <w:webHidden/>
          </w:rPr>
          <w:fldChar w:fldCharType="begin"/>
        </w:r>
        <w:r w:rsidR="00A04984">
          <w:rPr>
            <w:webHidden/>
          </w:rPr>
          <w:instrText xml:space="preserve"> PAGEREF _Toc492466344 \h </w:instrText>
        </w:r>
        <w:r w:rsidR="00A04984">
          <w:rPr>
            <w:webHidden/>
          </w:rPr>
        </w:r>
        <w:r w:rsidR="00A04984">
          <w:rPr>
            <w:webHidden/>
          </w:rPr>
          <w:fldChar w:fldCharType="separate"/>
        </w:r>
        <w:r w:rsidR="00A27726">
          <w:rPr>
            <w:webHidden/>
          </w:rPr>
          <w:t>8</w:t>
        </w:r>
        <w:r w:rsidR="00A04984">
          <w:rPr>
            <w:webHidden/>
          </w:rPr>
          <w:fldChar w:fldCharType="end"/>
        </w:r>
      </w:hyperlink>
    </w:p>
    <w:p w:rsidR="00A04984" w:rsidRDefault="00394FD2">
      <w:pPr>
        <w:pStyle w:val="TOC1"/>
        <w:tabs>
          <w:tab w:val="left" w:pos="446"/>
        </w:tabs>
        <w:rPr>
          <w:noProof/>
          <w:spacing w:val="0"/>
          <w:sz w:val="22"/>
          <w:szCs w:val="22"/>
        </w:rPr>
      </w:pPr>
      <w:hyperlink w:anchor="_Toc492466345" w:history="1">
        <w:r w:rsidR="00A04984" w:rsidRPr="0025083B">
          <w:rPr>
            <w:rStyle w:val="Hyperlink"/>
            <w:noProof/>
            <w:lang w:eastAsia="en-US"/>
          </w:rPr>
          <w:t>3.</w:t>
        </w:r>
        <w:r w:rsidR="00A04984">
          <w:rPr>
            <w:noProof/>
            <w:spacing w:val="0"/>
            <w:sz w:val="22"/>
            <w:szCs w:val="22"/>
          </w:rPr>
          <w:tab/>
        </w:r>
        <w:r w:rsidR="00A04984" w:rsidRPr="0025083B">
          <w:rPr>
            <w:rStyle w:val="Hyperlink"/>
            <w:noProof/>
            <w:lang w:eastAsia="en-US"/>
          </w:rPr>
          <w:t>Lapsing program evaluations</w:t>
        </w:r>
        <w:r w:rsidR="00A04984">
          <w:rPr>
            <w:noProof/>
            <w:webHidden/>
          </w:rPr>
          <w:tab/>
        </w:r>
        <w:r w:rsidR="00A04984">
          <w:rPr>
            <w:noProof/>
            <w:webHidden/>
          </w:rPr>
          <w:fldChar w:fldCharType="begin"/>
        </w:r>
        <w:r w:rsidR="00A04984">
          <w:rPr>
            <w:noProof/>
            <w:webHidden/>
          </w:rPr>
          <w:instrText xml:space="preserve"> PAGEREF _Toc492466345 \h </w:instrText>
        </w:r>
        <w:r w:rsidR="00A04984">
          <w:rPr>
            <w:noProof/>
            <w:webHidden/>
          </w:rPr>
        </w:r>
        <w:r w:rsidR="00A04984">
          <w:rPr>
            <w:noProof/>
            <w:webHidden/>
          </w:rPr>
          <w:fldChar w:fldCharType="separate"/>
        </w:r>
        <w:r w:rsidR="00A27726">
          <w:rPr>
            <w:noProof/>
            <w:webHidden/>
          </w:rPr>
          <w:t>9</w:t>
        </w:r>
        <w:r w:rsidR="00A04984">
          <w:rPr>
            <w:noProof/>
            <w:webHidden/>
          </w:rPr>
          <w:fldChar w:fldCharType="end"/>
        </w:r>
      </w:hyperlink>
    </w:p>
    <w:p w:rsidR="00A04984" w:rsidRDefault="00394FD2">
      <w:pPr>
        <w:pStyle w:val="TOC1"/>
        <w:tabs>
          <w:tab w:val="left" w:pos="446"/>
        </w:tabs>
        <w:rPr>
          <w:noProof/>
          <w:spacing w:val="0"/>
          <w:sz w:val="22"/>
          <w:szCs w:val="22"/>
        </w:rPr>
      </w:pPr>
      <w:hyperlink w:anchor="_Toc492466346" w:history="1">
        <w:r w:rsidR="00A04984" w:rsidRPr="0025083B">
          <w:rPr>
            <w:rStyle w:val="Hyperlink"/>
            <w:noProof/>
            <w:lang w:eastAsia="en-US"/>
          </w:rPr>
          <w:t>4.</w:t>
        </w:r>
        <w:r w:rsidR="00A04984">
          <w:rPr>
            <w:noProof/>
            <w:spacing w:val="0"/>
            <w:sz w:val="22"/>
            <w:szCs w:val="22"/>
          </w:rPr>
          <w:tab/>
        </w:r>
        <w:r w:rsidR="00A04984" w:rsidRPr="0025083B">
          <w:rPr>
            <w:rStyle w:val="Hyperlink"/>
            <w:noProof/>
            <w:lang w:eastAsia="en-US"/>
          </w:rPr>
          <w:t>Performance measures</w:t>
        </w:r>
        <w:r w:rsidR="00A04984">
          <w:rPr>
            <w:noProof/>
            <w:webHidden/>
          </w:rPr>
          <w:tab/>
        </w:r>
        <w:r w:rsidR="00A04984">
          <w:rPr>
            <w:noProof/>
            <w:webHidden/>
          </w:rPr>
          <w:fldChar w:fldCharType="begin"/>
        </w:r>
        <w:r w:rsidR="00A04984">
          <w:rPr>
            <w:noProof/>
            <w:webHidden/>
          </w:rPr>
          <w:instrText xml:space="preserve"> PAGEREF _Toc492466346 \h </w:instrText>
        </w:r>
        <w:r w:rsidR="00A04984">
          <w:rPr>
            <w:noProof/>
            <w:webHidden/>
          </w:rPr>
        </w:r>
        <w:r w:rsidR="00A04984">
          <w:rPr>
            <w:noProof/>
            <w:webHidden/>
          </w:rPr>
          <w:fldChar w:fldCharType="separate"/>
        </w:r>
        <w:r w:rsidR="00A27726">
          <w:rPr>
            <w:noProof/>
            <w:webHidden/>
          </w:rPr>
          <w:t>9</w:t>
        </w:r>
        <w:r w:rsidR="00A04984">
          <w:rPr>
            <w:noProof/>
            <w:webHidden/>
          </w:rPr>
          <w:fldChar w:fldCharType="end"/>
        </w:r>
      </w:hyperlink>
    </w:p>
    <w:p w:rsidR="00A04984" w:rsidRDefault="00394FD2">
      <w:pPr>
        <w:pStyle w:val="TOC2"/>
        <w:rPr>
          <w:spacing w:val="0"/>
          <w:sz w:val="22"/>
          <w:szCs w:val="22"/>
        </w:rPr>
      </w:pPr>
      <w:hyperlink w:anchor="_Toc492466347" w:history="1">
        <w:r w:rsidR="00A04984" w:rsidRPr="0025083B">
          <w:rPr>
            <w:rStyle w:val="Hyperlink"/>
          </w:rPr>
          <w:t>Performance measure examples</w:t>
        </w:r>
        <w:r w:rsidR="00A04984">
          <w:rPr>
            <w:webHidden/>
          </w:rPr>
          <w:tab/>
        </w:r>
        <w:r w:rsidR="00A04984">
          <w:rPr>
            <w:webHidden/>
          </w:rPr>
          <w:fldChar w:fldCharType="begin"/>
        </w:r>
        <w:r w:rsidR="00A04984">
          <w:rPr>
            <w:webHidden/>
          </w:rPr>
          <w:instrText xml:space="preserve"> PAGEREF _Toc492466347 \h </w:instrText>
        </w:r>
        <w:r w:rsidR="00A04984">
          <w:rPr>
            <w:webHidden/>
          </w:rPr>
        </w:r>
        <w:r w:rsidR="00A04984">
          <w:rPr>
            <w:webHidden/>
          </w:rPr>
          <w:fldChar w:fldCharType="separate"/>
        </w:r>
        <w:r w:rsidR="00A27726">
          <w:rPr>
            <w:webHidden/>
          </w:rPr>
          <w:t>9</w:t>
        </w:r>
        <w:r w:rsidR="00A04984">
          <w:rPr>
            <w:webHidden/>
          </w:rPr>
          <w:fldChar w:fldCharType="end"/>
        </w:r>
      </w:hyperlink>
    </w:p>
    <w:p w:rsidR="00A04984" w:rsidRDefault="00394FD2">
      <w:pPr>
        <w:pStyle w:val="TOC1"/>
        <w:tabs>
          <w:tab w:val="left" w:pos="446"/>
        </w:tabs>
        <w:rPr>
          <w:noProof/>
          <w:spacing w:val="0"/>
          <w:sz w:val="22"/>
          <w:szCs w:val="22"/>
        </w:rPr>
      </w:pPr>
      <w:hyperlink w:anchor="_Toc492466348" w:history="1">
        <w:r w:rsidR="00A04984" w:rsidRPr="0025083B">
          <w:rPr>
            <w:rStyle w:val="Hyperlink"/>
            <w:rFonts w:ascii="Arial" w:hAnsi="Arial" w:cs="Arial"/>
            <w:noProof/>
          </w:rPr>
          <w:t>5.</w:t>
        </w:r>
        <w:r w:rsidR="00A04984">
          <w:rPr>
            <w:noProof/>
            <w:spacing w:val="0"/>
            <w:sz w:val="22"/>
            <w:szCs w:val="22"/>
          </w:rPr>
          <w:tab/>
        </w:r>
        <w:r w:rsidR="00A04984" w:rsidRPr="0025083B">
          <w:rPr>
            <w:rStyle w:val="Hyperlink"/>
            <w:rFonts w:ascii="Arial" w:hAnsi="Arial" w:cs="Arial"/>
            <w:noProof/>
          </w:rPr>
          <w:t>Climate Change Impacts</w:t>
        </w:r>
        <w:r w:rsidR="00A04984">
          <w:rPr>
            <w:noProof/>
            <w:webHidden/>
          </w:rPr>
          <w:tab/>
        </w:r>
        <w:r w:rsidR="00A04984">
          <w:rPr>
            <w:noProof/>
            <w:webHidden/>
          </w:rPr>
          <w:fldChar w:fldCharType="begin"/>
        </w:r>
        <w:r w:rsidR="00A04984">
          <w:rPr>
            <w:noProof/>
            <w:webHidden/>
          </w:rPr>
          <w:instrText xml:space="preserve"> PAGEREF _Toc492466348 \h </w:instrText>
        </w:r>
        <w:r w:rsidR="00A04984">
          <w:rPr>
            <w:noProof/>
            <w:webHidden/>
          </w:rPr>
        </w:r>
        <w:r w:rsidR="00A04984">
          <w:rPr>
            <w:noProof/>
            <w:webHidden/>
          </w:rPr>
          <w:fldChar w:fldCharType="separate"/>
        </w:r>
        <w:r w:rsidR="00A27726">
          <w:rPr>
            <w:noProof/>
            <w:webHidden/>
          </w:rPr>
          <w:t>10</w:t>
        </w:r>
        <w:r w:rsidR="00A04984">
          <w:rPr>
            <w:noProof/>
            <w:webHidden/>
          </w:rPr>
          <w:fldChar w:fldCharType="end"/>
        </w:r>
      </w:hyperlink>
    </w:p>
    <w:p w:rsidR="00FD7E42" w:rsidRDefault="00CE2B13" w:rsidP="00CE2B13">
      <w:pPr>
        <w:rPr>
          <w:rFonts w:ascii="Arial" w:eastAsiaTheme="majorEastAsia" w:hAnsi="Arial" w:cs="Arial"/>
          <w:spacing w:val="0"/>
          <w:sz w:val="28"/>
          <w:szCs w:val="26"/>
          <w:lang w:eastAsia="en-US"/>
        </w:rPr>
      </w:pPr>
      <w:r>
        <w:fldChar w:fldCharType="end"/>
      </w:r>
    </w:p>
    <w:p w:rsidR="004E3C02" w:rsidRDefault="004E3C02">
      <w:pPr>
        <w:spacing w:after="200"/>
        <w:rPr>
          <w:rFonts w:ascii="Arial" w:eastAsiaTheme="majorEastAsia" w:hAnsi="Arial" w:cs="Arial"/>
          <w:b/>
          <w:bCs/>
          <w:color w:val="0063A6" w:themeColor="accent1"/>
          <w:sz w:val="28"/>
          <w:szCs w:val="26"/>
          <w:lang w:eastAsia="en-US"/>
        </w:rPr>
      </w:pPr>
      <w:r>
        <w:rPr>
          <w:rFonts w:ascii="Arial" w:eastAsiaTheme="majorEastAsia" w:hAnsi="Arial" w:cs="Arial"/>
          <w:bCs/>
          <w:sz w:val="28"/>
          <w:szCs w:val="26"/>
          <w:lang w:eastAsia="en-US"/>
        </w:rPr>
        <w:br w:type="page"/>
      </w:r>
    </w:p>
    <w:p w:rsidR="00FD7E42" w:rsidRPr="00FD7E42" w:rsidRDefault="00FD7E42" w:rsidP="008A1358">
      <w:pPr>
        <w:pStyle w:val="Heading1numbered"/>
        <w:tabs>
          <w:tab w:val="clear" w:pos="792"/>
          <w:tab w:val="num" w:pos="567"/>
        </w:tabs>
        <w:ind w:left="567" w:hanging="567"/>
        <w:rPr>
          <w:lang w:eastAsia="en-US"/>
        </w:rPr>
      </w:pPr>
      <w:bookmarkStart w:id="3" w:name="_Toc467597511"/>
      <w:bookmarkStart w:id="4" w:name="_Toc467771256"/>
      <w:bookmarkStart w:id="5" w:name="_Toc492466338"/>
      <w:r w:rsidRPr="00FD7E42">
        <w:rPr>
          <w:lang w:eastAsia="en-US"/>
        </w:rPr>
        <w:lastRenderedPageBreak/>
        <w:t>Location information</w:t>
      </w:r>
      <w:bookmarkEnd w:id="2"/>
      <w:bookmarkEnd w:id="3"/>
      <w:bookmarkEnd w:id="4"/>
      <w:bookmarkEnd w:id="5"/>
    </w:p>
    <w:p w:rsidR="00FD7E42" w:rsidRPr="0020394D" w:rsidRDefault="00FD7E42" w:rsidP="00B4336D">
      <w:pPr>
        <w:pStyle w:val="NormalIndent"/>
        <w:ind w:left="0"/>
      </w:pPr>
      <w:r w:rsidRPr="0020394D">
        <w:t xml:space="preserve">Location data is required for all asset </w:t>
      </w:r>
      <w:r w:rsidR="00226F8E">
        <w:t xml:space="preserve">and output </w:t>
      </w:r>
      <w:r w:rsidRPr="0020394D">
        <w:t xml:space="preserve">submissions, including assets </w:t>
      </w:r>
      <w:r w:rsidR="0020394D">
        <w:t xml:space="preserve">and outputs </w:t>
      </w:r>
      <w:r w:rsidRPr="0020394D">
        <w:t>linked to multiple regions. This information will be used in BP4</w:t>
      </w:r>
      <w:r w:rsidR="0020394D">
        <w:t xml:space="preserve"> (for assets)</w:t>
      </w:r>
      <w:r w:rsidRPr="0020394D">
        <w:t xml:space="preserve">, </w:t>
      </w:r>
      <w:r w:rsidR="00206B9A">
        <w:t xml:space="preserve">Budget Information Papers, </w:t>
      </w:r>
      <w:r w:rsidRPr="0020394D">
        <w:t xml:space="preserve">interactive online </w:t>
      </w:r>
      <w:r w:rsidR="00206B9A" w:rsidRPr="0020394D">
        <w:t xml:space="preserve">maps </w:t>
      </w:r>
      <w:r w:rsidRPr="0020394D">
        <w:t>and</w:t>
      </w:r>
      <w:r w:rsidR="00206B9A">
        <w:t>/or</w:t>
      </w:r>
      <w:r w:rsidRPr="0020394D">
        <w:t xml:space="preserve"> media releases</w:t>
      </w:r>
      <w:r w:rsidR="0020394D">
        <w:t xml:space="preserve"> (both a</w:t>
      </w:r>
      <w:r w:rsidR="00362ECB">
        <w:t>sset and output</w:t>
      </w:r>
      <w:r w:rsidR="0030228C">
        <w:t>)</w:t>
      </w:r>
      <w:r w:rsidRPr="0020394D">
        <w:t>.</w:t>
      </w:r>
    </w:p>
    <w:p w:rsidR="00CE2B13" w:rsidRDefault="00FD7E42" w:rsidP="00B4336D">
      <w:pPr>
        <w:pStyle w:val="NormalIndent"/>
        <w:ind w:left="0"/>
      </w:pPr>
      <w:r w:rsidRPr="0020394D">
        <w:t>Street addresses are preferable</w:t>
      </w:r>
      <w:r w:rsidR="00DE0542">
        <w:t>,</w:t>
      </w:r>
      <w:r w:rsidRPr="0020394D">
        <w:t xml:space="preserve"> but if street addresses are not known, </w:t>
      </w:r>
      <w:r w:rsidR="00206B9A">
        <w:t xml:space="preserve">the </w:t>
      </w:r>
      <w:r w:rsidRPr="0020394D">
        <w:t>suburb(s)</w:t>
      </w:r>
      <w:r w:rsidR="00206B9A">
        <w:t xml:space="preserve"> should be provided</w:t>
      </w:r>
      <w:r w:rsidR="00E23707">
        <w:t>.</w:t>
      </w:r>
      <w:r w:rsidRPr="0020394D">
        <w:t xml:space="preserve"> </w:t>
      </w:r>
      <w:r w:rsidR="00CE2B13" w:rsidRPr="0069176E">
        <w:rPr>
          <w:b/>
        </w:rPr>
        <w:t>Please note</w:t>
      </w:r>
      <w:r w:rsidRPr="0069176E">
        <w:rPr>
          <w:b/>
        </w:rPr>
        <w:t>:</w:t>
      </w:r>
      <w:r w:rsidRPr="0020394D">
        <w:t xml:space="preserve"> the department or agency head office address cannot be </w:t>
      </w:r>
      <w:r w:rsidR="00E23707">
        <w:t>used</w:t>
      </w:r>
      <w:r w:rsidR="00E23707" w:rsidRPr="0020394D">
        <w:t xml:space="preserve"> </w:t>
      </w:r>
      <w:r w:rsidRPr="0020394D">
        <w:t>as the location of the</w:t>
      </w:r>
      <w:r w:rsidR="00E23707">
        <w:t> </w:t>
      </w:r>
      <w:r w:rsidRPr="0020394D">
        <w:t xml:space="preserve">initiative as this skews interactive maps. </w:t>
      </w:r>
    </w:p>
    <w:p w:rsidR="00FD7E42" w:rsidRDefault="00982B37" w:rsidP="008E67A7">
      <w:bookmarkStart w:id="6" w:name="_Toc467597478"/>
      <w:bookmarkStart w:id="7" w:name="_Toc467597512"/>
      <w:bookmarkStart w:id="8" w:name="_Toc467771257"/>
      <w:r>
        <w:t xml:space="preserve">Information on </w:t>
      </w:r>
      <w:r w:rsidR="00A36DA9">
        <w:t xml:space="preserve">required fields </w:t>
      </w:r>
      <w:r>
        <w:t xml:space="preserve">is </w:t>
      </w:r>
      <w:r w:rsidR="00A36DA9">
        <w:t xml:space="preserve">below. </w:t>
      </w:r>
      <w:r w:rsidR="00A36DA9">
        <w:rPr>
          <w:lang w:eastAsia="en-US"/>
        </w:rPr>
        <w:t>We also expect to provide further guidance on the SRIMS interface for these requirements ahead of Stage 2.</w:t>
      </w:r>
      <w:bookmarkEnd w:id="6"/>
      <w:bookmarkEnd w:id="7"/>
      <w:bookmarkEnd w:id="8"/>
    </w:p>
    <w:tbl>
      <w:tblPr>
        <w:tblStyle w:val="DTFtexttableindent"/>
        <w:tblW w:w="5000" w:type="pct"/>
        <w:tblInd w:w="57" w:type="dxa"/>
        <w:tblLook w:val="06A0" w:firstRow="1" w:lastRow="0" w:firstColumn="1" w:lastColumn="0" w:noHBand="1" w:noVBand="1"/>
      </w:tblPr>
      <w:tblGrid>
        <w:gridCol w:w="1560"/>
        <w:gridCol w:w="3260"/>
        <w:gridCol w:w="4320"/>
      </w:tblGrid>
      <w:tr w:rsidR="00FD7E42" w:rsidRPr="00BF4221" w:rsidTr="00B4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3" w:type="pct"/>
          </w:tcPr>
          <w:p w:rsidR="00FD7E42" w:rsidRPr="00BF4221" w:rsidRDefault="00FD7E42" w:rsidP="00CE2B13">
            <w:pPr>
              <w:pStyle w:val="Tableheader"/>
              <w:rPr>
                <w:b w:val="0"/>
              </w:rPr>
            </w:pPr>
          </w:p>
        </w:tc>
        <w:tc>
          <w:tcPr>
            <w:tcW w:w="1783" w:type="pct"/>
          </w:tcPr>
          <w:p w:rsidR="00FD7E42" w:rsidRPr="00BF4221" w:rsidRDefault="00FD7E42" w:rsidP="00CE2B13">
            <w:pPr>
              <w:pStyle w:val="Tableheader"/>
              <w:cnfStyle w:val="100000000000" w:firstRow="1" w:lastRow="0" w:firstColumn="0" w:lastColumn="0" w:oddVBand="0" w:evenVBand="0" w:oddHBand="0" w:evenHBand="0" w:firstRowFirstColumn="0" w:firstRowLastColumn="0" w:lastRowFirstColumn="0" w:lastRowLastColumn="0"/>
              <w:rPr>
                <w:b w:val="0"/>
              </w:rPr>
            </w:pPr>
            <w:r w:rsidRPr="00BF4221">
              <w:t>Dropdown options:</w:t>
            </w:r>
          </w:p>
        </w:tc>
        <w:tc>
          <w:tcPr>
            <w:tcW w:w="2363" w:type="pct"/>
          </w:tcPr>
          <w:p w:rsidR="00FD7E42" w:rsidRPr="00BF4221" w:rsidRDefault="00FD7E42" w:rsidP="00CE2B13">
            <w:pPr>
              <w:pStyle w:val="Tableheader"/>
              <w:cnfStyle w:val="100000000000" w:firstRow="1" w:lastRow="0" w:firstColumn="0" w:lastColumn="0" w:oddVBand="0" w:evenVBand="0" w:oddHBand="0" w:evenHBand="0" w:firstRowFirstColumn="0" w:firstRowLastColumn="0" w:lastRowFirstColumn="0" w:lastRowLastColumn="0"/>
              <w:rPr>
                <w:b w:val="0"/>
              </w:rPr>
            </w:pPr>
            <w:r w:rsidRPr="00BF4221">
              <w:t>Description of options</w:t>
            </w:r>
          </w:p>
        </w:tc>
      </w:tr>
      <w:tr w:rsidR="00B4336D" w:rsidRPr="0020394D" w:rsidTr="00B4336D">
        <w:tc>
          <w:tcPr>
            <w:cnfStyle w:val="001000000000" w:firstRow="0" w:lastRow="0" w:firstColumn="1" w:lastColumn="0" w:oddVBand="0" w:evenVBand="0" w:oddHBand="0" w:evenHBand="0" w:firstRowFirstColumn="0" w:firstRowLastColumn="0" w:lastRowFirstColumn="0" w:lastRowLastColumn="0"/>
            <w:tcW w:w="853" w:type="pct"/>
          </w:tcPr>
          <w:p w:rsidR="00B4336D" w:rsidRDefault="00B4336D" w:rsidP="00B4336D">
            <w:pPr>
              <w:pStyle w:val="Tabletext"/>
            </w:pPr>
            <w:r>
              <w:t>Region</w:t>
            </w:r>
          </w:p>
          <w:p w:rsidR="00B4336D" w:rsidRPr="00E90827" w:rsidRDefault="00B4336D" w:rsidP="00B4336D">
            <w:pPr>
              <w:pStyle w:val="Tabletext"/>
              <w:rPr>
                <w:i/>
              </w:rPr>
            </w:pPr>
            <w:r>
              <w:rPr>
                <w:i/>
              </w:rPr>
              <w:t>(the</w:t>
            </w:r>
            <w:r w:rsidRPr="00E90827">
              <w:rPr>
                <w:i/>
              </w:rPr>
              <w:t xml:space="preserve"> physical location of the asset</w:t>
            </w:r>
            <w:r w:rsidR="00753E1B">
              <w:rPr>
                <w:i/>
              </w:rPr>
              <w:t xml:space="preserve"> or service</w:t>
            </w:r>
            <w:r>
              <w:rPr>
                <w:i/>
              </w:rPr>
              <w:t>)</w:t>
            </w:r>
          </w:p>
        </w:tc>
        <w:tc>
          <w:tcPr>
            <w:tcW w:w="1783" w:type="pct"/>
          </w:tcPr>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Metropolitan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Regional</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Statewide</w:t>
            </w:r>
          </w:p>
        </w:tc>
        <w:tc>
          <w:tcPr>
            <w:tcW w:w="2363" w:type="pct"/>
          </w:tcPr>
          <w:p w:rsidR="00B4336D" w:rsidRPr="0020394D" w:rsidRDefault="00B4336D" w:rsidP="0069176E">
            <w:pPr>
              <w:pStyle w:val="Tablebullet"/>
              <w:spacing w:after="0"/>
              <w:ind w:left="289" w:hanging="289"/>
              <w:contextualSpacing w:val="0"/>
              <w:cnfStyle w:val="000000000000" w:firstRow="0" w:lastRow="0" w:firstColumn="0" w:lastColumn="0" w:oddVBand="0" w:evenVBand="0" w:oddHBand="0" w:evenHBand="0" w:firstRowFirstColumn="0" w:firstRowLastColumn="0" w:lastRowFirstColumn="0" w:lastRowLastColumn="0"/>
            </w:pPr>
            <w:r w:rsidRPr="0020394D">
              <w:t>Greater metropolitan area of Melbourne</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Anywhere that is not Melbourne</w:t>
            </w:r>
          </w:p>
          <w:p w:rsidR="00B4336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A service or asset to benefit all or a large proportion of Victoria</w:t>
            </w:r>
          </w:p>
          <w:p w:rsidR="00A04984" w:rsidRPr="0020394D" w:rsidRDefault="00A04984" w:rsidP="000D6069">
            <w:pPr>
              <w:pStyle w:val="Tablebullet"/>
              <w:numPr>
                <w:ilvl w:val="0"/>
                <w:numId w:val="0"/>
              </w:numPr>
              <w:ind w:left="288"/>
              <w:cnfStyle w:val="000000000000" w:firstRow="0" w:lastRow="0" w:firstColumn="0" w:lastColumn="0" w:oddVBand="0" w:evenVBand="0" w:oddHBand="0" w:evenHBand="0" w:firstRowFirstColumn="0" w:firstRowLastColumn="0" w:lastRowFirstColumn="0" w:lastRowLastColumn="0"/>
            </w:pPr>
          </w:p>
        </w:tc>
      </w:tr>
      <w:tr w:rsidR="00B4336D" w:rsidRPr="0020394D" w:rsidTr="00B4336D">
        <w:tc>
          <w:tcPr>
            <w:cnfStyle w:val="001000000000" w:firstRow="0" w:lastRow="0" w:firstColumn="1" w:lastColumn="0" w:oddVBand="0" w:evenVBand="0" w:oddHBand="0" w:evenHBand="0" w:firstRowFirstColumn="0" w:firstRowLastColumn="0" w:lastRowFirstColumn="0" w:lastRowLastColumn="0"/>
            <w:tcW w:w="853" w:type="pct"/>
          </w:tcPr>
          <w:p w:rsidR="00B4336D" w:rsidRDefault="00B4336D" w:rsidP="00B4336D">
            <w:pPr>
              <w:pStyle w:val="Tabletext"/>
            </w:pPr>
            <w:r>
              <w:t>Area of Service</w:t>
            </w:r>
          </w:p>
          <w:p w:rsidR="00B4336D" w:rsidRPr="00E90827" w:rsidRDefault="00B4336D" w:rsidP="00753E1B">
            <w:pPr>
              <w:pStyle w:val="Tabletext"/>
              <w:rPr>
                <w:i/>
              </w:rPr>
            </w:pPr>
            <w:r>
              <w:rPr>
                <w:i/>
              </w:rPr>
              <w:t xml:space="preserve">(the area(s) the asset </w:t>
            </w:r>
            <w:r w:rsidR="00753E1B">
              <w:rPr>
                <w:i/>
              </w:rPr>
              <w:t xml:space="preserve">or service </w:t>
            </w:r>
            <w:r>
              <w:rPr>
                <w:i/>
              </w:rPr>
              <w:t xml:space="preserve">will </w:t>
            </w:r>
            <w:r w:rsidR="00753E1B">
              <w:rPr>
                <w:i/>
              </w:rPr>
              <w:t>benefit</w:t>
            </w:r>
            <w:r>
              <w:rPr>
                <w:i/>
              </w:rPr>
              <w:t>)</w:t>
            </w:r>
          </w:p>
        </w:tc>
        <w:tc>
          <w:tcPr>
            <w:tcW w:w="1783" w:type="pct"/>
          </w:tcPr>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Statewide</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Metropolitan various</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Regional various</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Eastern </w:t>
            </w:r>
            <w:r>
              <w:t>m</w:t>
            </w:r>
            <w:r w:rsidRPr="0020394D">
              <w:t xml:space="preserve">etropolitan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North and </w:t>
            </w:r>
            <w:r>
              <w:t>w</w:t>
            </w:r>
            <w:r w:rsidRPr="0020394D">
              <w:t xml:space="preserve">est </w:t>
            </w:r>
            <w:r>
              <w:t>m</w:t>
            </w:r>
            <w:r w:rsidRPr="0020394D">
              <w:t xml:space="preserve">etropolitan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South </w:t>
            </w:r>
            <w:r>
              <w:t>m</w:t>
            </w:r>
            <w:r w:rsidRPr="0020394D">
              <w:t xml:space="preserve">etropolitan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Barwon-South Western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Gippsland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Grampians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Hume </w:t>
            </w:r>
            <w:r>
              <w:t>r</w:t>
            </w:r>
            <w:r w:rsidRPr="0020394D">
              <w:t>egion</w:t>
            </w:r>
          </w:p>
          <w:p w:rsidR="00B4336D" w:rsidRPr="0020394D" w:rsidRDefault="00B4336D" w:rsidP="00CE2B13">
            <w:pPr>
              <w:pStyle w:val="Tablebullet"/>
              <w:cnfStyle w:val="000000000000" w:firstRow="0" w:lastRow="0" w:firstColumn="0" w:lastColumn="0" w:oddVBand="0" w:evenVBand="0" w:oddHBand="0" w:evenHBand="0" w:firstRowFirstColumn="0" w:firstRowLastColumn="0" w:lastRowFirstColumn="0" w:lastRowLastColumn="0"/>
            </w:pPr>
            <w:r w:rsidRPr="0020394D">
              <w:t xml:space="preserve">Loddon Mallee </w:t>
            </w:r>
            <w:r>
              <w:t>r</w:t>
            </w:r>
            <w:r w:rsidRPr="0020394D">
              <w:t>egion</w:t>
            </w:r>
          </w:p>
        </w:tc>
        <w:tc>
          <w:tcPr>
            <w:tcW w:w="2363" w:type="pct"/>
          </w:tcPr>
          <w:p w:rsidR="00B4336D" w:rsidRDefault="00B4336D" w:rsidP="00B4336D">
            <w:pPr>
              <w:pStyle w:val="Tabletext"/>
              <w:cnfStyle w:val="000000000000" w:firstRow="0" w:lastRow="0" w:firstColumn="0" w:lastColumn="0" w:oddVBand="0" w:evenVBand="0" w:oddHBand="0" w:evenHBand="0" w:firstRowFirstColumn="0" w:firstRowLastColumn="0" w:lastRowFirstColumn="0" w:lastRowLastColumn="0"/>
            </w:pPr>
            <w:r>
              <w:t xml:space="preserve">Deciding the area of service requires judgement </w:t>
            </w:r>
            <w:r w:rsidR="00206B9A">
              <w:t xml:space="preserve">on which </w:t>
            </w:r>
            <w:r>
              <w:t>area will benefit most from the asset or service.</w:t>
            </w:r>
          </w:p>
          <w:p w:rsidR="00B4336D" w:rsidRDefault="00B4336D" w:rsidP="00B4336D">
            <w:pPr>
              <w:pStyle w:val="Tabletext"/>
              <w:cnfStyle w:val="000000000000" w:firstRow="0" w:lastRow="0" w:firstColumn="0" w:lastColumn="0" w:oddVBand="0" w:evenVBand="0" w:oddHBand="0" w:evenHBand="0" w:firstRowFirstColumn="0" w:firstRowLastColumn="0" w:lastRowFirstColumn="0" w:lastRowLastColumn="0"/>
            </w:pPr>
            <w:r>
              <w:t>In some cases, the area of service will be the same as the location provided in the ‘Region’ field.</w:t>
            </w:r>
          </w:p>
          <w:p w:rsidR="00B4336D" w:rsidRPr="0020394D" w:rsidRDefault="00B4336D" w:rsidP="00B4336D">
            <w:pPr>
              <w:pStyle w:val="Tabletext"/>
              <w:cnfStyle w:val="000000000000" w:firstRow="0" w:lastRow="0" w:firstColumn="0" w:lastColumn="0" w:oddVBand="0" w:evenVBand="0" w:oddHBand="0" w:evenHBand="0" w:firstRowFirstColumn="0" w:firstRowLastColumn="0" w:lastRowFirstColumn="0" w:lastRowLastColumn="0"/>
            </w:pPr>
            <w:r>
              <w:t>The statewide category includes initiatives/projects that will benefit multiple areas. This could include a combination of metropolitan and regional, or may be located in one region by services a broader area (e.g. State Library of Victoria, while physically located in the metropolitan region its area of service is statewide).</w:t>
            </w:r>
          </w:p>
        </w:tc>
      </w:tr>
    </w:tbl>
    <w:p w:rsidR="00D85F91" w:rsidRDefault="00D85F91" w:rsidP="00CE2B13">
      <w:pPr>
        <w:pStyle w:val="Spacer"/>
      </w:pPr>
    </w:p>
    <w:tbl>
      <w:tblPr>
        <w:tblStyle w:val="DTFtexttableindent"/>
        <w:tblW w:w="9180" w:type="dxa"/>
        <w:tblInd w:w="57" w:type="dxa"/>
        <w:tblLayout w:type="fixed"/>
        <w:tblLook w:val="06A0" w:firstRow="1" w:lastRow="0" w:firstColumn="1" w:lastColumn="0" w:noHBand="1" w:noVBand="1"/>
      </w:tblPr>
      <w:tblGrid>
        <w:gridCol w:w="2694"/>
        <w:gridCol w:w="6486"/>
      </w:tblGrid>
      <w:tr w:rsidR="00FD7E42" w:rsidRPr="0000128E" w:rsidTr="00B433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Pr>
          <w:p w:rsidR="00FD7E42" w:rsidRPr="0000128E" w:rsidRDefault="00FD7E42" w:rsidP="00CE2B13">
            <w:pPr>
              <w:pStyle w:val="Tableheader"/>
              <w:rPr>
                <w:b w:val="0"/>
              </w:rPr>
            </w:pPr>
          </w:p>
        </w:tc>
        <w:tc>
          <w:tcPr>
            <w:tcW w:w="6486" w:type="dxa"/>
          </w:tcPr>
          <w:p w:rsidR="00FD7E42" w:rsidRPr="0000128E" w:rsidRDefault="00FD7E42" w:rsidP="00CE2B13">
            <w:pPr>
              <w:pStyle w:val="Tableheader"/>
              <w:cnfStyle w:val="100000000000" w:firstRow="1" w:lastRow="0" w:firstColumn="0" w:lastColumn="0" w:oddVBand="0" w:evenVBand="0" w:oddHBand="0" w:evenHBand="0" w:firstRowFirstColumn="0" w:firstRowLastColumn="0" w:lastRowFirstColumn="0" w:lastRowLastColumn="0"/>
              <w:rPr>
                <w:b w:val="0"/>
              </w:rPr>
            </w:pPr>
            <w:r w:rsidRPr="0000128E">
              <w:t xml:space="preserve">Details </w:t>
            </w:r>
            <w:r>
              <w:t>/ further information</w:t>
            </w:r>
          </w:p>
        </w:tc>
      </w:tr>
      <w:tr w:rsidR="00FD7E42" w:rsidRPr="0020394D" w:rsidTr="00B4336D">
        <w:tc>
          <w:tcPr>
            <w:cnfStyle w:val="001000000000" w:firstRow="0" w:lastRow="0" w:firstColumn="1" w:lastColumn="0" w:oddVBand="0" w:evenVBand="0" w:oddHBand="0" w:evenHBand="0" w:firstRowFirstColumn="0" w:firstRowLastColumn="0" w:lastRowFirstColumn="0" w:lastRowLastColumn="0"/>
            <w:tcW w:w="2694" w:type="dxa"/>
          </w:tcPr>
          <w:p w:rsidR="00FD7E42" w:rsidRPr="0020394D" w:rsidRDefault="00FD7E42" w:rsidP="00CE2B13">
            <w:pPr>
              <w:pStyle w:val="Tabletextbold"/>
            </w:pPr>
            <w:r w:rsidRPr="0020394D">
              <w:t>LGA</w:t>
            </w:r>
          </w:p>
        </w:tc>
        <w:tc>
          <w:tcPr>
            <w:tcW w:w="6486" w:type="dxa"/>
          </w:tcPr>
          <w:p w:rsidR="00CE2B13" w:rsidRPr="00B6247D" w:rsidRDefault="00FD7E42">
            <w:pPr>
              <w:pStyle w:val="Tabletext"/>
              <w:cnfStyle w:val="000000000000" w:firstRow="0" w:lastRow="0" w:firstColumn="0" w:lastColumn="0" w:oddVBand="0" w:evenVBand="0" w:oddHBand="0" w:evenHBand="0" w:firstRowFirstColumn="0" w:firstRowLastColumn="0" w:lastRowFirstColumn="0" w:lastRowLastColumn="0"/>
            </w:pPr>
            <w:r w:rsidRPr="00B6247D">
              <w:t xml:space="preserve">An LGA is a municipal district, e.g. city, shire, etc. There are currently 79 Victorian LGAs and these can be identified via the Victorian Electoral Commission website </w:t>
            </w:r>
            <w:r w:rsidR="00CE2B13">
              <w:t>–</w:t>
            </w:r>
            <w:r w:rsidRPr="00B6247D">
              <w:t xml:space="preserve"> </w:t>
            </w:r>
            <w:hyperlink r:id="rId9" w:history="1">
              <w:r w:rsidR="00CE2B13" w:rsidRPr="00FE0C3A">
                <w:rPr>
                  <w:rStyle w:val="Hyperlink"/>
                </w:rPr>
                <w:t>https://www.vec.vic.gov.au/ElectoralBoundaries/LocalCouncilMaps.html</w:t>
              </w:r>
            </w:hyperlink>
          </w:p>
        </w:tc>
      </w:tr>
      <w:tr w:rsidR="00FD7E42" w:rsidRPr="0020394D" w:rsidTr="00B4336D">
        <w:tc>
          <w:tcPr>
            <w:cnfStyle w:val="001000000000" w:firstRow="0" w:lastRow="0" w:firstColumn="1" w:lastColumn="0" w:oddVBand="0" w:evenVBand="0" w:oddHBand="0" w:evenHBand="0" w:firstRowFirstColumn="0" w:firstRowLastColumn="0" w:lastRowFirstColumn="0" w:lastRowLastColumn="0"/>
            <w:tcW w:w="2694" w:type="dxa"/>
          </w:tcPr>
          <w:p w:rsidR="00FD7E42" w:rsidRPr="0020394D" w:rsidRDefault="00FD7E42" w:rsidP="00CE2B13">
            <w:pPr>
              <w:pStyle w:val="Tabletextbold"/>
            </w:pPr>
            <w:r w:rsidRPr="0020394D">
              <w:t xml:space="preserve">Street name and </w:t>
            </w:r>
            <w:r w:rsidR="00DE0542">
              <w:t>s</w:t>
            </w:r>
            <w:r w:rsidRPr="0020394D">
              <w:t>treet number</w:t>
            </w:r>
          </w:p>
        </w:tc>
        <w:tc>
          <w:tcPr>
            <w:tcW w:w="6486" w:type="dxa"/>
          </w:tcPr>
          <w:p w:rsidR="00FD7E42" w:rsidRPr="00B6247D" w:rsidRDefault="00FD7E42" w:rsidP="00CE2B13">
            <w:pPr>
              <w:pStyle w:val="Tabletext"/>
              <w:cnfStyle w:val="000000000000" w:firstRow="0" w:lastRow="0" w:firstColumn="0" w:lastColumn="0" w:oddVBand="0" w:evenVBand="0" w:oddHBand="0" w:evenHBand="0" w:firstRowFirstColumn="0" w:firstRowLastColumn="0" w:lastRowFirstColumn="0" w:lastRowLastColumn="0"/>
            </w:pPr>
            <w:r w:rsidRPr="00B6247D">
              <w:t>Street name and number that the asset and/or service will be located (department or agency head office address cannot be entered for this).</w:t>
            </w:r>
          </w:p>
        </w:tc>
      </w:tr>
      <w:tr w:rsidR="00FD7E42" w:rsidRPr="0020394D" w:rsidTr="00B4336D">
        <w:tc>
          <w:tcPr>
            <w:cnfStyle w:val="001000000000" w:firstRow="0" w:lastRow="0" w:firstColumn="1" w:lastColumn="0" w:oddVBand="0" w:evenVBand="0" w:oddHBand="0" w:evenHBand="0" w:firstRowFirstColumn="0" w:firstRowLastColumn="0" w:lastRowFirstColumn="0" w:lastRowLastColumn="0"/>
            <w:tcW w:w="2694" w:type="dxa"/>
          </w:tcPr>
          <w:p w:rsidR="00FD7E42" w:rsidRPr="0020394D" w:rsidRDefault="00FD7E42" w:rsidP="00CE2B13">
            <w:pPr>
              <w:pStyle w:val="Tabletextbold"/>
            </w:pPr>
            <w:r w:rsidRPr="0020394D">
              <w:t>Street</w:t>
            </w:r>
          </w:p>
        </w:tc>
        <w:tc>
          <w:tcPr>
            <w:tcW w:w="6486" w:type="dxa"/>
          </w:tcPr>
          <w:p w:rsidR="00FD7E42" w:rsidRPr="00B6247D" w:rsidRDefault="00FD7E42" w:rsidP="00CE2B13">
            <w:pPr>
              <w:pStyle w:val="Tabletext"/>
              <w:cnfStyle w:val="000000000000" w:firstRow="0" w:lastRow="0" w:firstColumn="0" w:lastColumn="0" w:oddVBand="0" w:evenVBand="0" w:oddHBand="0" w:evenHBand="0" w:firstRowFirstColumn="0" w:firstRowLastColumn="0" w:lastRowFirstColumn="0" w:lastRowLastColumn="0"/>
            </w:pPr>
            <w:r w:rsidRPr="00B6247D">
              <w:t>Type of ‘street’, i.e. street, lane, road, avenue, crescent, etc.</w:t>
            </w:r>
          </w:p>
        </w:tc>
      </w:tr>
      <w:tr w:rsidR="00FD7E42" w:rsidRPr="0020394D" w:rsidTr="00B4336D">
        <w:tc>
          <w:tcPr>
            <w:cnfStyle w:val="001000000000" w:firstRow="0" w:lastRow="0" w:firstColumn="1" w:lastColumn="0" w:oddVBand="0" w:evenVBand="0" w:oddHBand="0" w:evenHBand="0" w:firstRowFirstColumn="0" w:firstRowLastColumn="0" w:lastRowFirstColumn="0" w:lastRowLastColumn="0"/>
            <w:tcW w:w="2694" w:type="dxa"/>
          </w:tcPr>
          <w:p w:rsidR="00FD7E42" w:rsidRPr="0020394D" w:rsidRDefault="00FD7E42" w:rsidP="00CE2B13">
            <w:pPr>
              <w:pStyle w:val="Tabletextbold"/>
            </w:pPr>
            <w:r w:rsidRPr="0020394D">
              <w:t>Suburb</w:t>
            </w:r>
          </w:p>
        </w:tc>
        <w:tc>
          <w:tcPr>
            <w:tcW w:w="6486" w:type="dxa"/>
          </w:tcPr>
          <w:p w:rsidR="00FD7E42" w:rsidRPr="00B6247D" w:rsidRDefault="00FD7E42" w:rsidP="00CE2B13">
            <w:pPr>
              <w:pStyle w:val="Tabletext"/>
              <w:cnfStyle w:val="000000000000" w:firstRow="0" w:lastRow="0" w:firstColumn="0" w:lastColumn="0" w:oddVBand="0" w:evenVBand="0" w:oddHBand="0" w:evenHBand="0" w:firstRowFirstColumn="0" w:firstRowLastColumn="0" w:lastRowFirstColumn="0" w:lastRowLastColumn="0"/>
            </w:pPr>
            <w:r w:rsidRPr="00B6247D">
              <w:t>Name of a suburb(s) in Melbourne or a large rural town (as applicable) e.g. Lucas (Ballarat), Kangaroo Flat (Bendigo), Corio (Geelong).</w:t>
            </w:r>
          </w:p>
          <w:p w:rsidR="00FD7E42" w:rsidRPr="00B6247D" w:rsidRDefault="00FD7E42" w:rsidP="00CE2B13">
            <w:pPr>
              <w:pStyle w:val="Tabletext"/>
              <w:cnfStyle w:val="000000000000" w:firstRow="0" w:lastRow="0" w:firstColumn="0" w:lastColumn="0" w:oddVBand="0" w:evenVBand="0" w:oddHBand="0" w:evenHBand="0" w:firstRowFirstColumn="0" w:firstRowLastColumn="0" w:lastRowFirstColumn="0" w:lastRowLastColumn="0"/>
            </w:pPr>
            <w:r w:rsidRPr="00B6247D">
              <w:t>Name of town e.g. Buninyong, Cohuna, Moe, Orbost.</w:t>
            </w:r>
          </w:p>
        </w:tc>
      </w:tr>
      <w:tr w:rsidR="00FD7E42" w:rsidRPr="0020394D" w:rsidTr="00B4336D">
        <w:tc>
          <w:tcPr>
            <w:cnfStyle w:val="001000000000" w:firstRow="0" w:lastRow="0" w:firstColumn="1" w:lastColumn="0" w:oddVBand="0" w:evenVBand="0" w:oddHBand="0" w:evenHBand="0" w:firstRowFirstColumn="0" w:firstRowLastColumn="0" w:lastRowFirstColumn="0" w:lastRowLastColumn="0"/>
            <w:tcW w:w="2694" w:type="dxa"/>
          </w:tcPr>
          <w:p w:rsidR="00FD7E42" w:rsidRPr="0020394D" w:rsidRDefault="00FD7E42" w:rsidP="00CE2B13">
            <w:pPr>
              <w:pStyle w:val="Tabletextbold"/>
            </w:pPr>
            <w:r w:rsidRPr="0020394D">
              <w:t xml:space="preserve">Victorian Government </w:t>
            </w:r>
            <w:r w:rsidR="00B35E03">
              <w:t>r</w:t>
            </w:r>
            <w:r w:rsidRPr="0020394D">
              <w:t>egion</w:t>
            </w:r>
          </w:p>
        </w:tc>
        <w:tc>
          <w:tcPr>
            <w:tcW w:w="6486" w:type="dxa"/>
          </w:tcPr>
          <w:p w:rsidR="00FD7E42" w:rsidRPr="0020394D" w:rsidRDefault="00B4336D" w:rsidP="00A04984">
            <w:pPr>
              <w:pStyle w:val="Tabletext"/>
              <w:cnfStyle w:val="000000000000" w:firstRow="0" w:lastRow="0" w:firstColumn="0" w:lastColumn="0" w:oddVBand="0" w:evenVBand="0" w:oddHBand="0" w:evenHBand="0" w:firstRowFirstColumn="0" w:firstRowLastColumn="0" w:lastRowFirstColumn="0" w:lastRowLastColumn="0"/>
            </w:pPr>
            <w:r>
              <w:t xml:space="preserve">In </w:t>
            </w:r>
            <w:r w:rsidR="00FD7E42" w:rsidRPr="0020394D">
              <w:t xml:space="preserve">most cases, this will be the same as </w:t>
            </w:r>
            <w:r>
              <w:t xml:space="preserve">what has been selected in </w:t>
            </w:r>
            <w:r w:rsidR="00FD7E42" w:rsidRPr="0020394D">
              <w:t xml:space="preserve">the </w:t>
            </w:r>
            <w:r w:rsidR="00B35E03">
              <w:t>‘</w:t>
            </w:r>
            <w:r w:rsidR="00FD7E42" w:rsidRPr="0020394D">
              <w:t>Area of Service</w:t>
            </w:r>
            <w:r w:rsidR="00B35E03">
              <w:t>’</w:t>
            </w:r>
            <w:r w:rsidR="00A04984">
              <w:t>.</w:t>
            </w:r>
          </w:p>
        </w:tc>
      </w:tr>
    </w:tbl>
    <w:p w:rsidR="00CE2B13" w:rsidRDefault="00CE2B13" w:rsidP="00CE2B13">
      <w:pPr>
        <w:pStyle w:val="Spacer"/>
      </w:pPr>
      <w:bookmarkStart w:id="9" w:name="_Toc467138378"/>
    </w:p>
    <w:bookmarkEnd w:id="9"/>
    <w:p w:rsidR="00601AEA" w:rsidRDefault="00601AEA" w:rsidP="00601AEA">
      <w:pPr>
        <w:pStyle w:val="Spacer"/>
      </w:pPr>
    </w:p>
    <w:p w:rsidR="009857A1" w:rsidRPr="00AC3633" w:rsidRDefault="009857A1" w:rsidP="009857A1">
      <w:pPr>
        <w:pStyle w:val="Heading1numbered"/>
        <w:tabs>
          <w:tab w:val="clear" w:pos="792"/>
          <w:tab w:val="num" w:pos="5045"/>
        </w:tabs>
        <w:ind w:left="567" w:hanging="567"/>
        <w:rPr>
          <w:lang w:eastAsia="en-US"/>
        </w:rPr>
      </w:pPr>
      <w:bookmarkStart w:id="10" w:name="_Toc492466339"/>
      <w:bookmarkStart w:id="11" w:name="_Toc467597480"/>
      <w:bookmarkStart w:id="12" w:name="_Toc467597514"/>
      <w:bookmarkStart w:id="13" w:name="_Toc467771259"/>
      <w:r w:rsidRPr="00AC3633">
        <w:rPr>
          <w:lang w:eastAsia="en-US"/>
        </w:rPr>
        <w:t>Costing guidance</w:t>
      </w:r>
      <w:bookmarkEnd w:id="10"/>
    </w:p>
    <w:p w:rsidR="009857A1" w:rsidRPr="00AC3633" w:rsidRDefault="009857A1" w:rsidP="009857A1">
      <w:pPr>
        <w:pStyle w:val="NormalIndent"/>
        <w:ind w:left="0"/>
      </w:pPr>
      <w:r w:rsidRPr="00AC3633">
        <w:t>The costing process provides the Government with assurance that the financial implications presented are:</w:t>
      </w:r>
    </w:p>
    <w:p w:rsidR="009857A1" w:rsidRPr="00AC3633" w:rsidRDefault="009857A1" w:rsidP="009857A1">
      <w:pPr>
        <w:pStyle w:val="Bullet1"/>
      </w:pPr>
      <w:r w:rsidRPr="00AC3633">
        <w:t xml:space="preserve">a true reflection of the estimated costs of undertaking the proposed activity; and </w:t>
      </w:r>
    </w:p>
    <w:p w:rsidR="009857A1" w:rsidRPr="00AC3633" w:rsidRDefault="009857A1" w:rsidP="009857A1">
      <w:pPr>
        <w:pStyle w:val="Bullet1"/>
      </w:pPr>
      <w:r w:rsidRPr="00AC3633">
        <w:t xml:space="preserve">represent an efficient and cost effective use of public resources. </w:t>
      </w:r>
    </w:p>
    <w:p w:rsidR="009857A1" w:rsidRPr="00AC3633" w:rsidRDefault="009857A1" w:rsidP="009857A1">
      <w:pPr>
        <w:pStyle w:val="NormalIndent"/>
        <w:ind w:left="0"/>
      </w:pPr>
      <w:r w:rsidRPr="00AC3633">
        <w:lastRenderedPageBreak/>
        <w:t>The costing process also provides an opportunity for DTF and departments to work collaboratively to test and verify the underlying approaches</w:t>
      </w:r>
      <w:r w:rsidR="00982B37">
        <w:t>. This includes approaches</w:t>
      </w:r>
      <w:r w:rsidRPr="00AC3633">
        <w:t xml:space="preserve"> to risk and </w:t>
      </w:r>
      <w:r w:rsidR="00982B37">
        <w:t xml:space="preserve">the </w:t>
      </w:r>
      <w:r w:rsidRPr="00AC3633">
        <w:t xml:space="preserve">assumptions </w:t>
      </w:r>
      <w:r w:rsidR="00982B37">
        <w:t xml:space="preserve">underpinning </w:t>
      </w:r>
      <w:r w:rsidRPr="00AC3633">
        <w:t>costs associated with the implementation and delivery of initiative</w:t>
      </w:r>
      <w:r w:rsidR="00982B37">
        <w:t>s</w:t>
      </w:r>
      <w:r w:rsidRPr="00AC3633">
        <w:t>.</w:t>
      </w:r>
    </w:p>
    <w:p w:rsidR="009857A1" w:rsidRDefault="009857A1" w:rsidP="009857A1">
      <w:pPr>
        <w:pStyle w:val="NormalIndent"/>
        <w:ind w:left="0"/>
      </w:pPr>
      <w:r w:rsidRPr="00AC3633">
        <w:t xml:space="preserve">Expectations regarding the level of costing information and evidence required for DTF to agree costs may vary depending on the size and complexity of the initiative. Given this, as soon as practical, </w:t>
      </w:r>
      <w:r w:rsidR="00982B37">
        <w:t xml:space="preserve">DTF encourages </w:t>
      </w:r>
      <w:r w:rsidRPr="00AC3633">
        <w:t xml:space="preserve">departments </w:t>
      </w:r>
      <w:r w:rsidR="00982B37">
        <w:t xml:space="preserve">to engage their </w:t>
      </w:r>
      <w:r w:rsidRPr="00AC3633">
        <w:t>DTF relationship managers to discuss requirements and expectations.</w:t>
      </w:r>
    </w:p>
    <w:p w:rsidR="006219A3" w:rsidRPr="00AC3633" w:rsidRDefault="006219A3" w:rsidP="006219A3">
      <w:pPr>
        <w:pStyle w:val="Listnum"/>
        <w:numPr>
          <w:ilvl w:val="0"/>
          <w:numId w:val="0"/>
        </w:numPr>
      </w:pPr>
      <w:r w:rsidRPr="00B57A56">
        <w:rPr>
          <w:b/>
        </w:rPr>
        <w:t>Please note</w:t>
      </w:r>
      <w:r>
        <w:t xml:space="preserve"> this guidance will form part of DTF relationship manager’s assessment criteria for agreeing costings.</w:t>
      </w:r>
    </w:p>
    <w:p w:rsidR="009857A1" w:rsidRPr="00AC3633" w:rsidRDefault="009857A1" w:rsidP="009857A1">
      <w:pPr>
        <w:pStyle w:val="Heading2"/>
        <w:ind w:left="0"/>
      </w:pPr>
      <w:bookmarkStart w:id="14" w:name="_Toc492466340"/>
      <w:r w:rsidRPr="00AC3633">
        <w:t>Staffing costs</w:t>
      </w:r>
      <w:bookmarkEnd w:id="14"/>
    </w:p>
    <w:p w:rsidR="009857A1" w:rsidRPr="00AC3633" w:rsidRDefault="009857A1" w:rsidP="009857A1">
      <w:pPr>
        <w:pStyle w:val="NormalIndent"/>
        <w:ind w:left="0"/>
      </w:pPr>
      <w:r w:rsidRPr="00AC3633">
        <w:t xml:space="preserve">All </w:t>
      </w:r>
      <w:r w:rsidRPr="00AC3633">
        <w:rPr>
          <w:b/>
        </w:rPr>
        <w:t>Victorian Public Service (VPS)</w:t>
      </w:r>
      <w:r>
        <w:rPr>
          <w:b/>
        </w:rPr>
        <w:t xml:space="preserve"> </w:t>
      </w:r>
      <w:r w:rsidRPr="00AC3633">
        <w:rPr>
          <w:b/>
        </w:rPr>
        <w:t>staffing</w:t>
      </w:r>
      <w:r w:rsidRPr="00AC3633">
        <w:t xml:space="preserve"> costings should be calculated </w:t>
      </w:r>
      <w:r w:rsidR="00206B9A">
        <w:t>using</w:t>
      </w:r>
      <w:r w:rsidR="00206B9A" w:rsidRPr="00AC3633">
        <w:t xml:space="preserve"> </w:t>
      </w:r>
      <w:r w:rsidRPr="00AC3633">
        <w:t xml:space="preserve">the costs in the </w:t>
      </w:r>
      <w:r w:rsidRPr="00AC3633">
        <w:rPr>
          <w:b/>
        </w:rPr>
        <w:t>Standard costing model for VPS staff</w:t>
      </w:r>
      <w:r w:rsidRPr="00AC3633">
        <w:t xml:space="preserve"> as outlined in the</w:t>
      </w:r>
      <w:r w:rsidR="00A04984">
        <w:t xml:space="preserve"> following</w:t>
      </w:r>
      <w:r w:rsidRPr="00AC3633">
        <w:t xml:space="preserve"> tables. </w:t>
      </w:r>
      <w:r w:rsidRPr="00AC3633">
        <w:rPr>
          <w:b/>
        </w:rPr>
        <w:t xml:space="preserve">VPS Aligned </w:t>
      </w:r>
      <w:r w:rsidRPr="00AC3633">
        <w:t>classifications covered by the Victorian Public Service Enterprise Agreement 2016 should also be calculated using this methodology.</w:t>
      </w:r>
    </w:p>
    <w:p w:rsidR="009857A1" w:rsidRPr="00AC3633" w:rsidRDefault="009857A1" w:rsidP="009857A1">
      <w:pPr>
        <w:pStyle w:val="NormalIndent"/>
        <w:ind w:left="0"/>
      </w:pPr>
      <w:r w:rsidRPr="00AC3633">
        <w:t xml:space="preserve">For </w:t>
      </w:r>
      <w:r w:rsidRPr="00AC3633">
        <w:rPr>
          <w:b/>
        </w:rPr>
        <w:t>Non-VPS Aligned Adaptive Structures</w:t>
      </w:r>
      <w:r w:rsidRPr="00AC3633">
        <w:t>, departments are requested</w:t>
      </w:r>
      <w:r w:rsidR="00206B9A">
        <w:t>, in consultation with DTF,</w:t>
      </w:r>
      <w:r w:rsidRPr="00AC3633">
        <w:t xml:space="preserve"> to use the </w:t>
      </w:r>
      <w:r w:rsidRPr="00AC3633">
        <w:rPr>
          <w:b/>
        </w:rPr>
        <w:t>mid salary point</w:t>
      </w:r>
      <w:r w:rsidRPr="00AC3633">
        <w:t xml:space="preserve"> for the respective classification and grade and apply the same methodology as per the standard costing model for VPS staff below (i.e. replace the VPS salary point with the desired classification).</w:t>
      </w:r>
    </w:p>
    <w:p w:rsidR="009857A1" w:rsidRPr="00AC3633" w:rsidRDefault="009857A1" w:rsidP="009857A1">
      <w:pPr>
        <w:pStyle w:val="NormalIndent"/>
        <w:ind w:left="0"/>
      </w:pPr>
      <w:r w:rsidRPr="00AC3633">
        <w:t>The method for costing other non-standard staffing costs and staffing classifications covered by other enterprise agreements is to be agreed with DTF on a case-by-case basis.</w:t>
      </w:r>
    </w:p>
    <w:p w:rsidR="009857A1" w:rsidRDefault="009857A1" w:rsidP="009857A1">
      <w:pPr>
        <w:pStyle w:val="NormalIndent"/>
        <w:ind w:left="0"/>
      </w:pPr>
      <w:r w:rsidRPr="00271FAF">
        <w:t>Indexation is</w:t>
      </w:r>
      <w:r w:rsidR="00F7047A" w:rsidRPr="00271FAF">
        <w:t xml:space="preserve"> </w:t>
      </w:r>
      <w:r w:rsidRPr="00271FAF">
        <w:rPr>
          <w:b/>
          <w:bCs/>
        </w:rPr>
        <w:t>not</w:t>
      </w:r>
      <w:r w:rsidRPr="00271FAF">
        <w:t xml:space="preserve"> to be applied to VPS staffing costs (including on-costs) for 2018-19 </w:t>
      </w:r>
      <w:r w:rsidR="00271FAF">
        <w:t>b</w:t>
      </w:r>
      <w:r w:rsidRPr="00271FAF">
        <w:t>udget</w:t>
      </w:r>
      <w:r w:rsidR="00271FAF">
        <w:t> </w:t>
      </w:r>
      <w:r w:rsidRPr="00271FAF">
        <w:t>initiatives.</w:t>
      </w:r>
    </w:p>
    <w:p w:rsidR="009857A1" w:rsidRPr="00AC3633" w:rsidRDefault="009857A1" w:rsidP="009857A1">
      <w:pPr>
        <w:pStyle w:val="Heading3"/>
        <w:ind w:left="0"/>
      </w:pPr>
      <w:bookmarkStart w:id="15" w:name="_Toc492466341"/>
      <w:r w:rsidRPr="00AC3633">
        <w:t>Standard costing model for VPS staff</w:t>
      </w:r>
      <w:bookmarkEnd w:id="15"/>
    </w:p>
    <w:p w:rsidR="009857A1" w:rsidRPr="00AC3633" w:rsidRDefault="009857A1" w:rsidP="009857A1">
      <w:pPr>
        <w:pStyle w:val="NormalIndent"/>
        <w:ind w:left="0"/>
        <w:rPr>
          <w:lang w:eastAsia="en-US"/>
        </w:rPr>
      </w:pPr>
      <w:r w:rsidRPr="00AC3633">
        <w:rPr>
          <w:lang w:eastAsia="en-US"/>
        </w:rPr>
        <w:t xml:space="preserve">DTF has prepared a standard cost model that </w:t>
      </w:r>
      <w:r w:rsidR="00206B9A">
        <w:rPr>
          <w:lang w:eastAsia="en-US"/>
        </w:rPr>
        <w:t xml:space="preserve">must </w:t>
      </w:r>
      <w:r w:rsidRPr="00AC3633">
        <w:rPr>
          <w:lang w:eastAsia="en-US"/>
        </w:rPr>
        <w:t>be used for all 2018-19 budget submissions to the Expenditure Review Sub-Committee that include costings for VPS staff. The standard cost model covers both executive and non-executive officers and is based on the salary increases from the Victorian Public Service Enterprise Agreement 2016.</w:t>
      </w:r>
    </w:p>
    <w:p w:rsidR="00982B37" w:rsidRDefault="009857A1" w:rsidP="009857A1">
      <w:pPr>
        <w:pStyle w:val="NormalIndent"/>
        <w:ind w:left="0"/>
        <w:rPr>
          <w:lang w:eastAsia="en-US"/>
        </w:rPr>
      </w:pPr>
      <w:r w:rsidRPr="00AC3633">
        <w:rPr>
          <w:lang w:eastAsia="en-US"/>
        </w:rPr>
        <w:t xml:space="preserve">The salary points </w:t>
      </w:r>
      <w:r w:rsidR="00A04984">
        <w:rPr>
          <w:lang w:eastAsia="en-US"/>
        </w:rPr>
        <w:t>in the following tables</w:t>
      </w:r>
      <w:r w:rsidR="00A04984" w:rsidRPr="00AC3633">
        <w:rPr>
          <w:lang w:eastAsia="en-US"/>
        </w:rPr>
        <w:t xml:space="preserve"> </w:t>
      </w:r>
      <w:r w:rsidRPr="00AC3633">
        <w:rPr>
          <w:lang w:eastAsia="en-US"/>
        </w:rPr>
        <w:t>should apply for the year in which the VPS staff commences.</w:t>
      </w:r>
    </w:p>
    <w:p w:rsidR="00982B37" w:rsidRDefault="00982B37">
      <w:pPr>
        <w:spacing w:before="0" w:after="200"/>
        <w:rPr>
          <w:lang w:eastAsia="en-US"/>
        </w:rPr>
      </w:pPr>
      <w:r>
        <w:rPr>
          <w:lang w:eastAsia="en-US"/>
        </w:rPr>
        <w:br w:type="page"/>
      </w:r>
    </w:p>
    <w:tbl>
      <w:tblPr>
        <w:tblStyle w:val="DTFtexttableindent"/>
        <w:tblW w:w="8793" w:type="dxa"/>
        <w:jc w:val="center"/>
        <w:tblInd w:w="0" w:type="dxa"/>
        <w:tblLayout w:type="fixed"/>
        <w:tblLook w:val="04A0" w:firstRow="1" w:lastRow="0" w:firstColumn="1" w:lastColumn="0" w:noHBand="0" w:noVBand="1"/>
      </w:tblPr>
      <w:tblGrid>
        <w:gridCol w:w="1863"/>
        <w:gridCol w:w="770"/>
        <w:gridCol w:w="770"/>
        <w:gridCol w:w="770"/>
        <w:gridCol w:w="770"/>
        <w:gridCol w:w="770"/>
        <w:gridCol w:w="770"/>
        <w:gridCol w:w="770"/>
        <w:gridCol w:w="770"/>
        <w:gridCol w:w="770"/>
      </w:tblGrid>
      <w:tr w:rsidR="009857A1" w:rsidRPr="00601AEA" w:rsidTr="00DD770E">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100" w:firstRow="0" w:lastRow="0" w:firstColumn="1" w:lastColumn="0" w:oddVBand="0" w:evenVBand="0" w:oddHBand="0" w:evenHBand="0" w:firstRowFirstColumn="1" w:firstRowLastColumn="0" w:lastRowFirstColumn="0" w:lastRowLastColumn="0"/>
            <w:tcW w:w="1863" w:type="dxa"/>
            <w:noWrap/>
            <w:hideMark/>
          </w:tcPr>
          <w:p w:rsidR="009857A1" w:rsidRPr="00601AEA" w:rsidRDefault="009857A1" w:rsidP="00DD770E">
            <w:pPr>
              <w:pStyle w:val="Tableheader"/>
              <w:jc w:val="right"/>
              <w:rPr>
                <w:sz w:val="16"/>
              </w:rPr>
            </w:pPr>
            <w:r w:rsidRPr="00601AEA">
              <w:rPr>
                <w:sz w:val="16"/>
              </w:rPr>
              <w:lastRenderedPageBreak/>
              <w:t> </w:t>
            </w:r>
          </w:p>
        </w:tc>
        <w:tc>
          <w:tcPr>
            <w:tcW w:w="6930" w:type="dxa"/>
            <w:gridSpan w:val="9"/>
            <w:hideMark/>
          </w:tcPr>
          <w:p w:rsidR="009857A1" w:rsidRPr="00601AEA" w:rsidRDefault="009857A1" w:rsidP="00DD770E">
            <w:pPr>
              <w:pStyle w:val="Tableheader"/>
              <w:jc w:val="center"/>
              <w:cnfStyle w:val="100000000000" w:firstRow="1" w:lastRow="0" w:firstColumn="0" w:lastColumn="0" w:oddVBand="0" w:evenVBand="0" w:oddHBand="0" w:evenHBand="0" w:firstRowFirstColumn="0" w:firstRowLastColumn="0" w:lastRowFirstColumn="0" w:lastRowLastColumn="0"/>
              <w:rPr>
                <w:sz w:val="16"/>
              </w:rPr>
            </w:pPr>
            <w:r w:rsidRPr="00601AEA">
              <w:rPr>
                <w:sz w:val="16"/>
              </w:rPr>
              <w:t xml:space="preserve">VPS staff commencing in </w:t>
            </w:r>
            <w:r>
              <w:rPr>
                <w:sz w:val="16"/>
              </w:rPr>
              <w:t>2017-18</w:t>
            </w:r>
          </w:p>
        </w:tc>
      </w:tr>
      <w:tr w:rsidR="009857A1" w:rsidRPr="00601AEA" w:rsidTr="00DD770E">
        <w:trPr>
          <w:trHeight w:val="272"/>
          <w:jc w:val="center"/>
        </w:trPr>
        <w:tc>
          <w:tcPr>
            <w:cnfStyle w:val="001000000000" w:firstRow="0" w:lastRow="0" w:firstColumn="1" w:lastColumn="0" w:oddVBand="0" w:evenVBand="0" w:oddHBand="0" w:evenHBand="0" w:firstRowFirstColumn="0" w:firstRowLastColumn="0" w:lastRowFirstColumn="0" w:lastRowLastColumn="0"/>
            <w:tcW w:w="1863" w:type="dxa"/>
            <w:shd w:val="clear" w:color="auto" w:fill="0063A6" w:themeFill="accent1"/>
            <w:noWrap/>
            <w:hideMark/>
          </w:tcPr>
          <w:p w:rsidR="009857A1" w:rsidRPr="00601AEA" w:rsidRDefault="009857A1" w:rsidP="00DD770E">
            <w:pPr>
              <w:pStyle w:val="Tableheader"/>
              <w:jc w:val="right"/>
              <w:rPr>
                <w:sz w:val="16"/>
              </w:rPr>
            </w:pP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1</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2</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4</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5</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6</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STS</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EO2</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A04984">
            <w:pPr>
              <w:pStyle w:val="Tabletext"/>
              <w:rPr>
                <w:sz w:val="15"/>
              </w:rPr>
            </w:pPr>
            <w:r w:rsidRPr="00601AEA">
              <w:rPr>
                <w:sz w:val="15"/>
              </w:rPr>
              <w:t>201</w:t>
            </w:r>
            <w:r w:rsidR="00A04984">
              <w:rPr>
                <w:sz w:val="15"/>
              </w:rPr>
              <w:t>7</w:t>
            </w:r>
            <w:r w:rsidRPr="00601AEA">
              <w:rPr>
                <w:sz w:val="15"/>
              </w:rPr>
              <w:t>-1</w:t>
            </w:r>
            <w:r w:rsidR="00A04984">
              <w:rPr>
                <w:sz w:val="15"/>
              </w:rPr>
              <w:t>8</w:t>
            </w:r>
            <w:r w:rsidRPr="00601AEA">
              <w:rPr>
                <w:sz w:val="15"/>
              </w:rPr>
              <w:t xml:space="preserve"> salary point</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$47,105</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$57,192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$72,752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$86,829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$103,720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$134,606</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$184,535</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$204,970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$268,561</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Superannuation</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$4,475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$5,433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$6,911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$8,249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$9,853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$12,788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$17,531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Pr>
                <w:rFonts w:cstheme="minorHAnsi"/>
                <w:color w:val="000000"/>
                <w:sz w:val="15"/>
                <w:szCs w:val="15"/>
              </w:rPr>
              <w: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Pr>
                <w:rFonts w:cstheme="minorHAnsi"/>
                <w:color w:val="000000"/>
                <w:sz w:val="15"/>
                <w:szCs w:val="15"/>
              </w:rPr>
              <w:t>-</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rate</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10.48%</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10.20%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9.93%</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r>
      <w:tr w:rsidR="009857A1" w:rsidRPr="00601AEA" w:rsidTr="00DD770E">
        <w:trPr>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$5,014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$6,088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$7,744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$9,242</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$10,874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$13,724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$18,323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$17,228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$22,573</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Operating costs</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b/>
                <w:sz w:val="15"/>
              </w:rPr>
            </w:pPr>
            <w:r w:rsidRPr="00601AEA">
              <w:rPr>
                <w:b/>
                <w:sz w:val="15"/>
              </w:rPr>
              <w:t>Total standard cost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$70,341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$82,460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$101,154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$118,067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$138,194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$174,865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$234,135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$235,944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$304,880</w:t>
            </w:r>
          </w:p>
        </w:tc>
      </w:tr>
    </w:tbl>
    <w:p w:rsidR="009857A1" w:rsidRPr="00F97DF3" w:rsidRDefault="009857A1" w:rsidP="009857A1">
      <w:pPr>
        <w:spacing w:after="0"/>
        <w:rPr>
          <w:sz w:val="16"/>
          <w:szCs w:val="16"/>
        </w:rPr>
      </w:pPr>
    </w:p>
    <w:tbl>
      <w:tblPr>
        <w:tblStyle w:val="DTFtexttableindent"/>
        <w:tblW w:w="8793" w:type="dxa"/>
        <w:jc w:val="center"/>
        <w:tblInd w:w="0" w:type="dxa"/>
        <w:tblLayout w:type="fixed"/>
        <w:tblLook w:val="04A0" w:firstRow="1" w:lastRow="0" w:firstColumn="1" w:lastColumn="0" w:noHBand="0" w:noVBand="1"/>
      </w:tblPr>
      <w:tblGrid>
        <w:gridCol w:w="1863"/>
        <w:gridCol w:w="770"/>
        <w:gridCol w:w="770"/>
        <w:gridCol w:w="770"/>
        <w:gridCol w:w="770"/>
        <w:gridCol w:w="770"/>
        <w:gridCol w:w="770"/>
        <w:gridCol w:w="770"/>
        <w:gridCol w:w="770"/>
        <w:gridCol w:w="770"/>
      </w:tblGrid>
      <w:tr w:rsidR="009857A1" w:rsidRPr="00601AEA" w:rsidTr="00DD770E">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100" w:firstRow="0" w:lastRow="0" w:firstColumn="1" w:lastColumn="0" w:oddVBand="0" w:evenVBand="0" w:oddHBand="0" w:evenHBand="0" w:firstRowFirstColumn="1" w:firstRowLastColumn="0" w:lastRowFirstColumn="0" w:lastRowLastColumn="0"/>
            <w:tcW w:w="1863" w:type="dxa"/>
            <w:noWrap/>
            <w:hideMark/>
          </w:tcPr>
          <w:p w:rsidR="009857A1" w:rsidRPr="00601AEA" w:rsidRDefault="009857A1" w:rsidP="00DD770E">
            <w:pPr>
              <w:pStyle w:val="Tableheader"/>
              <w:jc w:val="right"/>
              <w:rPr>
                <w:sz w:val="16"/>
              </w:rPr>
            </w:pPr>
            <w:r w:rsidRPr="00601AEA">
              <w:rPr>
                <w:sz w:val="16"/>
              </w:rPr>
              <w:t> </w:t>
            </w:r>
          </w:p>
        </w:tc>
        <w:tc>
          <w:tcPr>
            <w:tcW w:w="6930" w:type="dxa"/>
            <w:gridSpan w:val="9"/>
            <w:hideMark/>
          </w:tcPr>
          <w:p w:rsidR="009857A1" w:rsidRPr="00601AEA" w:rsidRDefault="009857A1" w:rsidP="00DD770E">
            <w:pPr>
              <w:pStyle w:val="Tableheader"/>
              <w:jc w:val="center"/>
              <w:cnfStyle w:val="100000000000" w:firstRow="1" w:lastRow="0" w:firstColumn="0" w:lastColumn="0" w:oddVBand="0" w:evenVBand="0" w:oddHBand="0" w:evenHBand="0" w:firstRowFirstColumn="0" w:firstRowLastColumn="0" w:lastRowFirstColumn="0" w:lastRowLastColumn="0"/>
              <w:rPr>
                <w:sz w:val="16"/>
              </w:rPr>
            </w:pPr>
            <w:r w:rsidRPr="00601AEA">
              <w:rPr>
                <w:sz w:val="16"/>
              </w:rPr>
              <w:t>VPS staff commencing in 2018-19</w:t>
            </w:r>
          </w:p>
        </w:tc>
      </w:tr>
      <w:tr w:rsidR="009857A1" w:rsidRPr="00601AEA" w:rsidTr="00DD770E">
        <w:trPr>
          <w:trHeight w:val="272"/>
          <w:jc w:val="center"/>
        </w:trPr>
        <w:tc>
          <w:tcPr>
            <w:cnfStyle w:val="001000000000" w:firstRow="0" w:lastRow="0" w:firstColumn="1" w:lastColumn="0" w:oddVBand="0" w:evenVBand="0" w:oddHBand="0" w:evenHBand="0" w:firstRowFirstColumn="0" w:firstRowLastColumn="0" w:lastRowFirstColumn="0" w:lastRowLastColumn="0"/>
            <w:tcW w:w="1863" w:type="dxa"/>
            <w:shd w:val="clear" w:color="auto" w:fill="0063A6" w:themeFill="accent1"/>
            <w:noWrap/>
            <w:hideMark/>
          </w:tcPr>
          <w:p w:rsidR="009857A1" w:rsidRPr="00601AEA" w:rsidRDefault="009857A1" w:rsidP="00DD770E">
            <w:pPr>
              <w:pStyle w:val="Tableheader"/>
              <w:jc w:val="right"/>
              <w:rPr>
                <w:sz w:val="16"/>
              </w:rPr>
            </w:pP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1</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2</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4</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5</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6</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STS</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EO2</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2018-19 salary point</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$48,649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$59,066</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$75,135</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$89,674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$107,118</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$139,016</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$190,581</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$210,094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$275,275</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Superannuation</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$4,622</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$5,611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$7,138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$8,519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$10,176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$13,207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$18,105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rate</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10.48%</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10.20%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9.93%</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r>
      <w:tr w:rsidR="009857A1" w:rsidRPr="00601AEA" w:rsidTr="00DD770E">
        <w:trPr>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$5,178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$6,287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$7,997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$9,545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$11,230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$14,174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$18,923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$17,659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$23,137</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Operating costs</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b/>
                <w:sz w:val="15"/>
              </w:rPr>
            </w:pPr>
            <w:r w:rsidRPr="00601AEA">
              <w:rPr>
                <w:b/>
                <w:sz w:val="15"/>
              </w:rPr>
              <w:t>Total standard cost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$72,195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$84,711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$104,017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$121,485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$142,271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$180,144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$241,356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$241,499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$312,159</w:t>
            </w:r>
          </w:p>
        </w:tc>
      </w:tr>
    </w:tbl>
    <w:p w:rsidR="009857A1" w:rsidRDefault="009857A1" w:rsidP="009857A1">
      <w:pPr>
        <w:spacing w:after="0"/>
        <w:rPr>
          <w:sz w:val="16"/>
          <w:szCs w:val="16"/>
        </w:rPr>
      </w:pPr>
    </w:p>
    <w:tbl>
      <w:tblPr>
        <w:tblStyle w:val="DTFtexttableindent"/>
        <w:tblW w:w="8793" w:type="dxa"/>
        <w:jc w:val="center"/>
        <w:tblInd w:w="0" w:type="dxa"/>
        <w:tblLayout w:type="fixed"/>
        <w:tblLook w:val="04A0" w:firstRow="1" w:lastRow="0" w:firstColumn="1" w:lastColumn="0" w:noHBand="0" w:noVBand="1"/>
      </w:tblPr>
      <w:tblGrid>
        <w:gridCol w:w="1863"/>
        <w:gridCol w:w="770"/>
        <w:gridCol w:w="770"/>
        <w:gridCol w:w="770"/>
        <w:gridCol w:w="770"/>
        <w:gridCol w:w="770"/>
        <w:gridCol w:w="770"/>
        <w:gridCol w:w="770"/>
        <w:gridCol w:w="770"/>
        <w:gridCol w:w="770"/>
      </w:tblGrid>
      <w:tr w:rsidR="009857A1" w:rsidRPr="00601AEA" w:rsidTr="00DD770E">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100" w:firstRow="0" w:lastRow="0" w:firstColumn="1" w:lastColumn="0" w:oddVBand="0" w:evenVBand="0" w:oddHBand="0" w:evenHBand="0" w:firstRowFirstColumn="1" w:firstRowLastColumn="0" w:lastRowFirstColumn="0" w:lastRowLastColumn="0"/>
            <w:tcW w:w="1863" w:type="dxa"/>
            <w:noWrap/>
            <w:hideMark/>
          </w:tcPr>
          <w:p w:rsidR="009857A1" w:rsidRPr="00601AEA" w:rsidRDefault="009857A1" w:rsidP="00DD770E">
            <w:pPr>
              <w:pStyle w:val="Tableheader"/>
              <w:rPr>
                <w:sz w:val="16"/>
              </w:rPr>
            </w:pPr>
            <w:r w:rsidRPr="00601AEA">
              <w:rPr>
                <w:sz w:val="16"/>
              </w:rPr>
              <w:t> </w:t>
            </w:r>
          </w:p>
        </w:tc>
        <w:tc>
          <w:tcPr>
            <w:tcW w:w="6930" w:type="dxa"/>
            <w:gridSpan w:val="9"/>
            <w:hideMark/>
          </w:tcPr>
          <w:p w:rsidR="009857A1" w:rsidRPr="00841CD7" w:rsidRDefault="009857A1" w:rsidP="00DD770E">
            <w:pPr>
              <w:pStyle w:val="Tableheader"/>
              <w:jc w:val="center"/>
              <w:cnfStyle w:val="100000000000" w:firstRow="1" w:lastRow="0" w:firstColumn="0" w:lastColumn="0" w:oddVBand="0" w:evenVBand="0" w:oddHBand="0" w:evenHBand="0" w:firstRowFirstColumn="0" w:firstRowLastColumn="0" w:lastRowFirstColumn="0" w:lastRowLastColumn="0"/>
              <w:rPr>
                <w:iCs/>
                <w:sz w:val="16"/>
              </w:rPr>
            </w:pPr>
            <w:r w:rsidRPr="00841CD7">
              <w:rPr>
                <w:iCs/>
                <w:sz w:val="16"/>
              </w:rPr>
              <w:t>VPS staff commencing in 2019-20</w:t>
            </w:r>
          </w:p>
        </w:tc>
      </w:tr>
      <w:tr w:rsidR="009857A1" w:rsidRPr="00601AEA" w:rsidTr="00DD770E">
        <w:trPr>
          <w:trHeight w:val="281"/>
          <w:jc w:val="center"/>
        </w:trPr>
        <w:tc>
          <w:tcPr>
            <w:cnfStyle w:val="001000000000" w:firstRow="0" w:lastRow="0" w:firstColumn="1" w:lastColumn="0" w:oddVBand="0" w:evenVBand="0" w:oddHBand="0" w:evenHBand="0" w:firstRowFirstColumn="0" w:firstRowLastColumn="0" w:lastRowFirstColumn="0" w:lastRowLastColumn="0"/>
            <w:tcW w:w="1863" w:type="dxa"/>
            <w:shd w:val="clear" w:color="auto" w:fill="0063A6" w:themeFill="accent1"/>
            <w:noWrap/>
            <w:hideMark/>
          </w:tcPr>
          <w:p w:rsidR="009857A1" w:rsidRPr="00601AEA" w:rsidRDefault="009857A1" w:rsidP="00DD770E">
            <w:pPr>
              <w:pStyle w:val="Tableheader"/>
              <w:rPr>
                <w:b/>
                <w:sz w:val="16"/>
              </w:rPr>
            </w:pP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1</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2</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4</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5</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6</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STS</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EO2</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2019-20 salary point</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$49,379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$59,952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$76,262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$91,019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$108,724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$141,102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$193,440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$215,346</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$282,156</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Superannuation</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$4,691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$5,695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$7,245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$8,647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$10,329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$13,405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$18,377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rate</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10.48%</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10.20%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9.93%</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r>
      <w:tr w:rsidR="009857A1" w:rsidRPr="00601AEA" w:rsidTr="00DD770E">
        <w:trPr>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$5,256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$6,381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$8,117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$9,688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$11,399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$14,387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$19,207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$18,100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$23,716</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Operating costs</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b/>
                <w:bCs/>
                <w:sz w:val="15"/>
              </w:rPr>
            </w:pPr>
            <w:r w:rsidRPr="00601AEA">
              <w:rPr>
                <w:b/>
                <w:bCs/>
                <w:sz w:val="15"/>
              </w:rPr>
              <w:t>Total standard cost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$73,072</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$85,775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$105,371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$123,101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$144,199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$182,640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$244,770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$247,193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$319,619</w:t>
            </w:r>
          </w:p>
        </w:tc>
      </w:tr>
    </w:tbl>
    <w:p w:rsidR="00982B37" w:rsidRDefault="00982B37" w:rsidP="009857A1">
      <w:pPr>
        <w:spacing w:after="0"/>
        <w:rPr>
          <w:sz w:val="16"/>
          <w:szCs w:val="16"/>
          <w:lang w:eastAsia="en-US"/>
        </w:rPr>
      </w:pPr>
    </w:p>
    <w:p w:rsidR="00982B37" w:rsidRDefault="00982B37">
      <w:pPr>
        <w:spacing w:before="0" w:after="200"/>
        <w:rPr>
          <w:sz w:val="16"/>
          <w:szCs w:val="16"/>
          <w:lang w:eastAsia="en-US"/>
        </w:rPr>
      </w:pPr>
      <w:r>
        <w:rPr>
          <w:sz w:val="16"/>
          <w:szCs w:val="16"/>
          <w:lang w:eastAsia="en-US"/>
        </w:rPr>
        <w:br w:type="page"/>
      </w:r>
    </w:p>
    <w:p w:rsidR="009857A1" w:rsidRDefault="009857A1" w:rsidP="009857A1">
      <w:pPr>
        <w:spacing w:after="0"/>
        <w:rPr>
          <w:sz w:val="16"/>
          <w:szCs w:val="16"/>
          <w:lang w:eastAsia="en-US"/>
        </w:rPr>
      </w:pPr>
    </w:p>
    <w:tbl>
      <w:tblPr>
        <w:tblStyle w:val="DTFtexttableindent"/>
        <w:tblW w:w="8793" w:type="dxa"/>
        <w:jc w:val="center"/>
        <w:tblInd w:w="0" w:type="dxa"/>
        <w:tblLayout w:type="fixed"/>
        <w:tblLook w:val="04A0" w:firstRow="1" w:lastRow="0" w:firstColumn="1" w:lastColumn="0" w:noHBand="0" w:noVBand="1"/>
      </w:tblPr>
      <w:tblGrid>
        <w:gridCol w:w="1863"/>
        <w:gridCol w:w="770"/>
        <w:gridCol w:w="770"/>
        <w:gridCol w:w="770"/>
        <w:gridCol w:w="770"/>
        <w:gridCol w:w="770"/>
        <w:gridCol w:w="770"/>
        <w:gridCol w:w="770"/>
        <w:gridCol w:w="770"/>
        <w:gridCol w:w="770"/>
      </w:tblGrid>
      <w:tr w:rsidR="009857A1" w:rsidRPr="00601AEA" w:rsidTr="00DD770E">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863" w:type="dxa"/>
            <w:noWrap/>
            <w:hideMark/>
          </w:tcPr>
          <w:p w:rsidR="009857A1" w:rsidRPr="00601AEA" w:rsidRDefault="009857A1" w:rsidP="00DD770E">
            <w:pPr>
              <w:pStyle w:val="Tableheader"/>
              <w:rPr>
                <w:sz w:val="16"/>
              </w:rPr>
            </w:pPr>
            <w:r w:rsidRPr="00601AEA">
              <w:rPr>
                <w:sz w:val="16"/>
              </w:rPr>
              <w:t> </w:t>
            </w:r>
          </w:p>
        </w:tc>
        <w:tc>
          <w:tcPr>
            <w:tcW w:w="6930" w:type="dxa"/>
            <w:gridSpan w:val="9"/>
            <w:hideMark/>
          </w:tcPr>
          <w:p w:rsidR="009857A1" w:rsidRPr="00601AEA" w:rsidRDefault="009857A1" w:rsidP="00DD770E">
            <w:pPr>
              <w:pStyle w:val="Tableheader"/>
              <w:jc w:val="center"/>
              <w:cnfStyle w:val="100000000000" w:firstRow="1" w:lastRow="0" w:firstColumn="0" w:lastColumn="0" w:oddVBand="0" w:evenVBand="0" w:oddHBand="0" w:evenHBand="0" w:firstRowFirstColumn="0" w:firstRowLastColumn="0" w:lastRowFirstColumn="0" w:lastRowLastColumn="0"/>
              <w:rPr>
                <w:sz w:val="16"/>
              </w:rPr>
            </w:pPr>
            <w:r w:rsidRPr="00601AEA">
              <w:rPr>
                <w:sz w:val="16"/>
              </w:rPr>
              <w:t>VPS staff commencing in 2020-21*</w:t>
            </w:r>
          </w:p>
        </w:tc>
      </w:tr>
      <w:tr w:rsidR="009857A1" w:rsidRPr="00601AEA" w:rsidTr="00DD770E">
        <w:trPr>
          <w:trHeight w:val="264"/>
          <w:jc w:val="center"/>
        </w:trPr>
        <w:tc>
          <w:tcPr>
            <w:cnfStyle w:val="001000000000" w:firstRow="0" w:lastRow="0" w:firstColumn="1" w:lastColumn="0" w:oddVBand="0" w:evenVBand="0" w:oddHBand="0" w:evenHBand="0" w:firstRowFirstColumn="0" w:firstRowLastColumn="0" w:lastRowFirstColumn="0" w:lastRowLastColumn="0"/>
            <w:tcW w:w="1863" w:type="dxa"/>
            <w:shd w:val="clear" w:color="auto" w:fill="0063A6" w:themeFill="accent1"/>
            <w:noWrap/>
            <w:hideMark/>
          </w:tcPr>
          <w:p w:rsidR="009857A1" w:rsidRPr="00601AEA" w:rsidRDefault="009857A1" w:rsidP="00DD770E">
            <w:pPr>
              <w:pStyle w:val="Tableheader"/>
              <w:rPr>
                <w:b/>
                <w:sz w:val="16"/>
              </w:rPr>
            </w:pP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1</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2</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4</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5</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6</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STS</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EO2</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2020-21 salary point</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$50,613</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$61,450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$78,169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$93,295</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$111,442</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$144,629</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$198,276</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$220,730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$289,210</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Superannuation</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$4,808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$5,838</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$7,426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$8,863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$10,587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$13,740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$18,836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rate</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10.64%</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10.48%</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10.20%</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9.93%</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8.41%</w:t>
            </w:r>
          </w:p>
        </w:tc>
      </w:tr>
      <w:tr w:rsidR="009857A1" w:rsidRPr="00601AEA" w:rsidTr="00DD770E">
        <w:trPr>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$5,387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$6,541</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$8,320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$9,930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$11,684</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$14,746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$19,687</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$18,553</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$24,308</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Operating costs</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hideMark/>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b/>
                <w:bCs/>
                <w:sz w:val="15"/>
              </w:rPr>
            </w:pPr>
            <w:r w:rsidRPr="00601AEA">
              <w:rPr>
                <w:b/>
                <w:bCs/>
                <w:sz w:val="15"/>
              </w:rPr>
              <w:t>Total standard cost</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$74,556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$87,576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$107,662</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$125,835</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$147,460</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$186,862</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$250,546</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$253,029</w:t>
            </w:r>
          </w:p>
        </w:tc>
        <w:tc>
          <w:tcPr>
            <w:tcW w:w="770" w:type="dxa"/>
            <w:noWrap/>
            <w:vAlign w:val="center"/>
            <w:hideMark/>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$327,266</w:t>
            </w:r>
          </w:p>
        </w:tc>
      </w:tr>
    </w:tbl>
    <w:p w:rsidR="009857A1" w:rsidRDefault="009857A1" w:rsidP="003051AD">
      <w:pPr>
        <w:pStyle w:val="NoteNormalindent"/>
        <w:ind w:left="142"/>
      </w:pPr>
      <w:r w:rsidRPr="00DC5860">
        <w:t xml:space="preserve">*2.5 per cent growth has been </w:t>
      </w:r>
      <w:r>
        <w:t xml:space="preserve">assumed for </w:t>
      </w:r>
      <w:r w:rsidRPr="00DC5860">
        <w:t xml:space="preserve">2020-21 salaries, </w:t>
      </w:r>
      <w:r>
        <w:t>as an estimate of wage growth in this year.</w:t>
      </w:r>
    </w:p>
    <w:p w:rsidR="009857A1" w:rsidRDefault="009857A1" w:rsidP="003051AD">
      <w:pPr>
        <w:pStyle w:val="NoteNormalindent"/>
        <w:ind w:left="142"/>
        <w:rPr>
          <w:sz w:val="12"/>
        </w:rPr>
      </w:pPr>
    </w:p>
    <w:tbl>
      <w:tblPr>
        <w:tblStyle w:val="DTFtexttableindent"/>
        <w:tblW w:w="0" w:type="auto"/>
        <w:jc w:val="center"/>
        <w:tblInd w:w="0" w:type="dxa"/>
        <w:tblLayout w:type="fixed"/>
        <w:tblLook w:val="04A0" w:firstRow="1" w:lastRow="0" w:firstColumn="1" w:lastColumn="0" w:noHBand="0" w:noVBand="1"/>
      </w:tblPr>
      <w:tblGrid>
        <w:gridCol w:w="1863"/>
        <w:gridCol w:w="770"/>
        <w:gridCol w:w="770"/>
        <w:gridCol w:w="770"/>
        <w:gridCol w:w="770"/>
        <w:gridCol w:w="770"/>
        <w:gridCol w:w="770"/>
        <w:gridCol w:w="770"/>
        <w:gridCol w:w="770"/>
        <w:gridCol w:w="770"/>
      </w:tblGrid>
      <w:tr w:rsidR="009857A1" w:rsidRPr="00601AEA" w:rsidTr="00DD770E">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100" w:firstRow="0" w:lastRow="0" w:firstColumn="1" w:lastColumn="0" w:oddVBand="0" w:evenVBand="0" w:oddHBand="0" w:evenHBand="0" w:firstRowFirstColumn="1" w:firstRowLastColumn="0" w:lastRowFirstColumn="0" w:lastRowLastColumn="0"/>
            <w:tcW w:w="1863" w:type="dxa"/>
            <w:noWrap/>
            <w:hideMark/>
          </w:tcPr>
          <w:p w:rsidR="009857A1" w:rsidRPr="00601AEA" w:rsidRDefault="009857A1" w:rsidP="00DD770E">
            <w:pPr>
              <w:pStyle w:val="Tableheader"/>
              <w:rPr>
                <w:sz w:val="16"/>
              </w:rPr>
            </w:pPr>
            <w:r w:rsidRPr="00601AEA">
              <w:rPr>
                <w:sz w:val="16"/>
              </w:rPr>
              <w:t> </w:t>
            </w:r>
          </w:p>
        </w:tc>
        <w:tc>
          <w:tcPr>
            <w:tcW w:w="6930" w:type="dxa"/>
            <w:gridSpan w:val="9"/>
            <w:hideMark/>
          </w:tcPr>
          <w:p w:rsidR="009857A1" w:rsidRPr="00601AEA" w:rsidRDefault="009857A1" w:rsidP="00DD770E">
            <w:pPr>
              <w:pStyle w:val="Tableheader"/>
              <w:jc w:val="center"/>
              <w:cnfStyle w:val="100000000000" w:firstRow="1" w:lastRow="0" w:firstColumn="0" w:lastColumn="0" w:oddVBand="0" w:evenVBand="0" w:oddHBand="0" w:evenHBand="0" w:firstRowFirstColumn="0" w:firstRowLastColumn="0" w:lastRowFirstColumn="0" w:lastRowLastColumn="0"/>
              <w:rPr>
                <w:sz w:val="16"/>
              </w:rPr>
            </w:pPr>
            <w:r w:rsidRPr="00601AEA">
              <w:rPr>
                <w:sz w:val="16"/>
              </w:rPr>
              <w:t>VPS staff commencing in 202</w:t>
            </w:r>
            <w:r>
              <w:rPr>
                <w:sz w:val="16"/>
              </w:rPr>
              <w:t>1</w:t>
            </w:r>
            <w:r w:rsidRPr="00601AEA">
              <w:rPr>
                <w:sz w:val="16"/>
              </w:rPr>
              <w:t>-2</w:t>
            </w:r>
            <w:r>
              <w:rPr>
                <w:sz w:val="16"/>
              </w:rPr>
              <w:t>2</w:t>
            </w:r>
            <w:r w:rsidRPr="00601AEA">
              <w:rPr>
                <w:sz w:val="16"/>
              </w:rPr>
              <w:t>*</w:t>
            </w:r>
          </w:p>
        </w:tc>
      </w:tr>
      <w:tr w:rsidR="009857A1" w:rsidRPr="00601AEA" w:rsidTr="00DD770E">
        <w:trPr>
          <w:trHeight w:val="264"/>
          <w:jc w:val="center"/>
        </w:trPr>
        <w:tc>
          <w:tcPr>
            <w:cnfStyle w:val="001000000000" w:firstRow="0" w:lastRow="0" w:firstColumn="1" w:lastColumn="0" w:oddVBand="0" w:evenVBand="0" w:oddHBand="0" w:evenHBand="0" w:firstRowFirstColumn="0" w:firstRowLastColumn="0" w:lastRowFirstColumn="0" w:lastRowLastColumn="0"/>
            <w:tcW w:w="1863" w:type="dxa"/>
            <w:shd w:val="clear" w:color="auto" w:fill="0063A6" w:themeFill="accent1"/>
            <w:noWrap/>
            <w:hideMark/>
          </w:tcPr>
          <w:p w:rsidR="009857A1" w:rsidRPr="00601AEA" w:rsidRDefault="009857A1" w:rsidP="00DD770E">
            <w:pPr>
              <w:pStyle w:val="Tableheader"/>
              <w:rPr>
                <w:b/>
                <w:sz w:val="16"/>
              </w:rPr>
            </w:pP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1</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2</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4</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5</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VPS 6</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STS</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EO3</w:t>
            </w:r>
          </w:p>
        </w:tc>
        <w:tc>
          <w:tcPr>
            <w:tcW w:w="770" w:type="dxa"/>
            <w:shd w:val="clear" w:color="auto" w:fill="0063A6" w:themeFill="accent1"/>
            <w:noWrap/>
            <w:hideMark/>
          </w:tcPr>
          <w:p w:rsidR="009857A1" w:rsidRPr="00601AEA" w:rsidRDefault="009857A1" w:rsidP="00DD770E">
            <w:pPr>
              <w:pStyle w:val="Tableheader"/>
              <w:jc w:val="right"/>
              <w:cnfStyle w:val="000000000000" w:firstRow="0" w:lastRow="0" w:firstColumn="0" w:lastColumn="0" w:oddVBand="0" w:evenVBand="0" w:oddHBand="0" w:evenHBand="0" w:firstRowFirstColumn="0" w:firstRowLastColumn="0" w:lastRowFirstColumn="0" w:lastRowLastColumn="0"/>
              <w:rPr>
                <w:b/>
                <w:sz w:val="16"/>
              </w:rPr>
            </w:pPr>
            <w:r w:rsidRPr="00601AEA">
              <w:rPr>
                <w:b/>
                <w:sz w:val="16"/>
              </w:rPr>
              <w:t>EO2</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A04984">
            <w:pPr>
              <w:pStyle w:val="Tabletext"/>
              <w:rPr>
                <w:sz w:val="15"/>
              </w:rPr>
            </w:pPr>
            <w:r w:rsidRPr="00601AEA">
              <w:rPr>
                <w:sz w:val="15"/>
              </w:rPr>
              <w:t>202</w:t>
            </w:r>
            <w:r w:rsidR="00A04984">
              <w:rPr>
                <w:sz w:val="15"/>
              </w:rPr>
              <w:t>1</w:t>
            </w:r>
            <w:r w:rsidRPr="00601AEA">
              <w:rPr>
                <w:sz w:val="15"/>
              </w:rPr>
              <w:t>-2</w:t>
            </w:r>
            <w:r w:rsidR="00A04984">
              <w:rPr>
                <w:sz w:val="15"/>
              </w:rPr>
              <w:t>2</w:t>
            </w:r>
            <w:r w:rsidRPr="00601AEA">
              <w:rPr>
                <w:sz w:val="15"/>
              </w:rPr>
              <w:t xml:space="preserve"> salary point</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$51,625</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$62,679</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$79,732</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$95,161</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$113,671</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$147,522</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$202,241</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$226,248</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$296,441</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Superannuation</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$5,163</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$6,268</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$7,973</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$9,516</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$11,367</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$14,752</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$20,224</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rate</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10.68%</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10.68%</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10.68%</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10.68%</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10.52%</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10.23%</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9.96%</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8.39%</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8.39%</w:t>
            </w:r>
          </w:p>
        </w:tc>
      </w:tr>
      <w:tr w:rsidR="009857A1" w:rsidRPr="00601AEA" w:rsidTr="00DD770E">
        <w:trPr>
          <w:trHeight w:val="300"/>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Salary on-costs – $</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$5,511</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$6,691</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$8,511</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$10,158</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$11,953</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$15,087</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$20,143</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$18,993</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15"/>
                <w:szCs w:val="15"/>
              </w:rPr>
            </w:pPr>
            <w:r w:rsidRPr="00082534">
              <w:rPr>
                <w:rFonts w:cstheme="minorHAnsi"/>
                <w:color w:val="000000"/>
                <w:sz w:val="15"/>
                <w:szCs w:val="15"/>
              </w:rPr>
              <w:t>$24,885</w:t>
            </w:r>
          </w:p>
        </w:tc>
      </w:tr>
      <w:tr w:rsidR="009857A1" w:rsidRPr="00601AEA" w:rsidTr="00DD770E">
        <w:trPr>
          <w:cnfStyle w:val="000000010000" w:firstRow="0" w:lastRow="0" w:firstColumn="0" w:lastColumn="0" w:oddVBand="0" w:evenVBand="0" w:oddHBand="0" w:evenHBand="1"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sz w:val="15"/>
              </w:rPr>
            </w:pPr>
            <w:r w:rsidRPr="00601AEA">
              <w:rPr>
                <w:sz w:val="15"/>
              </w:rPr>
              <w:t>Operating costs</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c>
          <w:tcPr>
            <w:tcW w:w="770" w:type="dxa"/>
            <w:noWrap/>
            <w:vAlign w:val="center"/>
          </w:tcPr>
          <w:p w:rsidR="009857A1" w:rsidRPr="00082534" w:rsidRDefault="009857A1" w:rsidP="00DD770E">
            <w:pPr>
              <w:jc w:val="right"/>
              <w:cnfStyle w:val="000000010000" w:firstRow="0" w:lastRow="0" w:firstColumn="0" w:lastColumn="0" w:oddVBand="0" w:evenVBand="0" w:oddHBand="0" w:evenHBand="1" w:firstRowFirstColumn="0" w:firstRowLastColumn="0" w:lastRowFirstColumn="0" w:lastRowLastColumn="0"/>
              <w:rPr>
                <w:rFonts w:cstheme="minorHAnsi"/>
                <w:color w:val="000000"/>
                <w:sz w:val="15"/>
                <w:szCs w:val="15"/>
              </w:rPr>
            </w:pPr>
            <w:r w:rsidRPr="00082534">
              <w:rPr>
                <w:rFonts w:cstheme="minorHAnsi"/>
                <w:color w:val="000000"/>
                <w:sz w:val="15"/>
                <w:szCs w:val="15"/>
              </w:rPr>
              <w:t>$13,747</w:t>
            </w:r>
          </w:p>
        </w:tc>
      </w:tr>
      <w:tr w:rsidR="009857A1" w:rsidRPr="00601AEA" w:rsidTr="00DD770E">
        <w:trPr>
          <w:trHeight w:val="315"/>
          <w:jc w:val="center"/>
        </w:trPr>
        <w:tc>
          <w:tcPr>
            <w:cnfStyle w:val="001000000000" w:firstRow="0" w:lastRow="0" w:firstColumn="1" w:lastColumn="0" w:oddVBand="0" w:evenVBand="0" w:oddHBand="0" w:evenHBand="0" w:firstRowFirstColumn="0" w:firstRowLastColumn="0" w:lastRowFirstColumn="0" w:lastRowLastColumn="0"/>
            <w:tcW w:w="1863" w:type="dxa"/>
            <w:noWrap/>
            <w:hideMark/>
          </w:tcPr>
          <w:p w:rsidR="009857A1" w:rsidRPr="00601AEA" w:rsidRDefault="009857A1" w:rsidP="00DD770E">
            <w:pPr>
              <w:pStyle w:val="Tabletext"/>
              <w:rPr>
                <w:b/>
                <w:bCs/>
                <w:sz w:val="15"/>
              </w:rPr>
            </w:pPr>
            <w:r w:rsidRPr="00601AEA">
              <w:rPr>
                <w:b/>
                <w:bCs/>
                <w:sz w:val="15"/>
              </w:rPr>
              <w:t>Total standard cost</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$76,046</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$89,385</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$109,964</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$128,582</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$150,738</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$191,108</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$256,355</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$258,988</w:t>
            </w:r>
          </w:p>
        </w:tc>
        <w:tc>
          <w:tcPr>
            <w:tcW w:w="770" w:type="dxa"/>
            <w:noWrap/>
            <w:vAlign w:val="center"/>
          </w:tcPr>
          <w:p w:rsidR="009857A1" w:rsidRPr="00082534" w:rsidRDefault="009857A1" w:rsidP="00DD770E">
            <w:pPr>
              <w:jc w:val="right"/>
              <w:cnfStyle w:val="000000000000" w:firstRow="0" w:lastRow="0" w:firstColumn="0" w:lastColumn="0" w:oddVBand="0" w:evenVBand="0" w:oddHBand="0" w:evenHBand="0" w:firstRowFirstColumn="0" w:firstRowLastColumn="0" w:lastRowFirstColumn="0" w:lastRowLastColumn="0"/>
              <w:rPr>
                <w:rFonts w:cstheme="minorHAnsi"/>
                <w:b/>
                <w:bCs/>
                <w:color w:val="000000"/>
                <w:sz w:val="15"/>
                <w:szCs w:val="15"/>
              </w:rPr>
            </w:pPr>
            <w:r w:rsidRPr="00082534">
              <w:rPr>
                <w:rFonts w:cstheme="minorHAnsi"/>
                <w:b/>
                <w:bCs/>
                <w:color w:val="000000"/>
                <w:sz w:val="15"/>
                <w:szCs w:val="15"/>
              </w:rPr>
              <w:t>$335,073</w:t>
            </w:r>
          </w:p>
        </w:tc>
      </w:tr>
    </w:tbl>
    <w:p w:rsidR="009857A1" w:rsidRPr="00DC5860" w:rsidRDefault="009857A1" w:rsidP="009857A1">
      <w:pPr>
        <w:pStyle w:val="NoteNormalindent"/>
        <w:ind w:left="142"/>
      </w:pPr>
      <w:r w:rsidRPr="00DC5860">
        <w:t>*2.</w:t>
      </w:r>
      <w:r>
        <w:t>0</w:t>
      </w:r>
      <w:r w:rsidRPr="00DC5860">
        <w:t xml:space="preserve"> per cen</w:t>
      </w:r>
      <w:r>
        <w:t xml:space="preserve">t growth has been assumed for </w:t>
      </w:r>
      <w:r w:rsidRPr="00DC5860">
        <w:t>202</w:t>
      </w:r>
      <w:r>
        <w:t>1</w:t>
      </w:r>
      <w:r w:rsidRPr="00DC5860">
        <w:t>-2</w:t>
      </w:r>
      <w:r>
        <w:t>2</w:t>
      </w:r>
      <w:r w:rsidRPr="00DC5860">
        <w:t xml:space="preserve"> </w:t>
      </w:r>
      <w:r>
        <w:t xml:space="preserve">VPS staff </w:t>
      </w:r>
      <w:r w:rsidRPr="00DC5860">
        <w:t xml:space="preserve">salaries, </w:t>
      </w:r>
      <w:r>
        <w:t>as an estimate of wage growth in this year.</w:t>
      </w:r>
      <w:r w:rsidRPr="00DC5860">
        <w:t xml:space="preserve"> </w:t>
      </w:r>
      <w:r>
        <w:t>0.5 per cent growth has been applied to superannuation to reflect the increase in Superannuation Guarantee contributions.</w:t>
      </w:r>
    </w:p>
    <w:p w:rsidR="009857A1" w:rsidRDefault="009857A1">
      <w:pPr>
        <w:spacing w:before="0" w:after="200"/>
        <w:rPr>
          <w:rFonts w:asciiTheme="majorHAnsi" w:eastAsiaTheme="majorEastAsia" w:hAnsiTheme="majorHAnsi" w:cstheme="majorBidi"/>
          <w:b/>
          <w:bCs/>
          <w:color w:val="0063A6" w:themeColor="accent1"/>
          <w:sz w:val="22"/>
          <w:szCs w:val="22"/>
        </w:rPr>
      </w:pPr>
      <w:r>
        <w:br w:type="page"/>
      </w:r>
    </w:p>
    <w:p w:rsidR="009857A1" w:rsidRPr="00AC3633" w:rsidRDefault="009857A1" w:rsidP="009857A1">
      <w:pPr>
        <w:pStyle w:val="Heading3"/>
        <w:ind w:left="0"/>
      </w:pPr>
      <w:bookmarkStart w:id="16" w:name="_Toc492466342"/>
      <w:r w:rsidRPr="00AC3633">
        <w:lastRenderedPageBreak/>
        <w:t>Notes to the Standard costing model for VPS staff</w:t>
      </w:r>
      <w:bookmarkEnd w:id="16"/>
    </w:p>
    <w:p w:rsidR="009857A1" w:rsidRPr="00AC3633" w:rsidRDefault="009857A1" w:rsidP="009857A1">
      <w:pPr>
        <w:pStyle w:val="NormalIndent"/>
        <w:ind w:left="0"/>
        <w:rPr>
          <w:lang w:eastAsia="en-US"/>
        </w:rPr>
      </w:pPr>
      <w:r w:rsidRPr="00AC3633">
        <w:rPr>
          <w:lang w:eastAsia="en-US"/>
        </w:rPr>
        <w:t>The standard cost</w:t>
      </w:r>
      <w:r w:rsidR="00206B9A">
        <w:rPr>
          <w:lang w:eastAsia="en-US"/>
        </w:rPr>
        <w:t>ing</w:t>
      </w:r>
      <w:r w:rsidRPr="00AC3633">
        <w:rPr>
          <w:lang w:eastAsia="en-US"/>
        </w:rPr>
        <w:t xml:space="preserve"> model is based on the following assumptions:</w:t>
      </w:r>
    </w:p>
    <w:p w:rsidR="009857A1" w:rsidRPr="00AC3633" w:rsidRDefault="009857A1" w:rsidP="009857A1">
      <w:pPr>
        <w:pStyle w:val="Heading4"/>
        <w:ind w:left="0"/>
      </w:pPr>
      <w:r w:rsidRPr="00AC3633">
        <w:t>Salary</w:t>
      </w:r>
    </w:p>
    <w:p w:rsidR="009857A1" w:rsidRPr="00AC3633" w:rsidRDefault="009857A1" w:rsidP="009857A1">
      <w:pPr>
        <w:pStyle w:val="Bullet1"/>
        <w:rPr>
          <w:lang w:eastAsia="en-US"/>
        </w:rPr>
      </w:pPr>
      <w:r w:rsidRPr="00AC3633">
        <w:rPr>
          <w:lang w:eastAsia="en-US"/>
        </w:rPr>
        <w:t>VPS staff are employed at the mid salary point for their respective VPS grade.</w:t>
      </w:r>
    </w:p>
    <w:p w:rsidR="009857A1" w:rsidRPr="00AC3633" w:rsidRDefault="009857A1" w:rsidP="009857A1">
      <w:pPr>
        <w:pStyle w:val="Bullet1"/>
        <w:rPr>
          <w:lang w:eastAsia="en-US"/>
        </w:rPr>
      </w:pPr>
      <w:r w:rsidRPr="00AC3633">
        <w:rPr>
          <w:lang w:eastAsia="en-US"/>
        </w:rPr>
        <w:t xml:space="preserve">Executive officer total remuneration package (TRP) is based on the midpoint TRP for the relevant classification across the public service as at </w:t>
      </w:r>
      <w:r>
        <w:rPr>
          <w:lang w:eastAsia="en-US"/>
        </w:rPr>
        <w:t>1 July 2017</w:t>
      </w:r>
      <w:r w:rsidRPr="00AC3633">
        <w:rPr>
          <w:lang w:eastAsia="en-US"/>
        </w:rPr>
        <w:t xml:space="preserve"> (as advised by the Victorian Public Sector Commission).</w:t>
      </w:r>
    </w:p>
    <w:p w:rsidR="009857A1" w:rsidRPr="00AC3633" w:rsidRDefault="009857A1" w:rsidP="009857A1">
      <w:pPr>
        <w:pStyle w:val="Heading4"/>
        <w:ind w:left="0"/>
      </w:pPr>
      <w:r w:rsidRPr="00AC3633">
        <w:t>Superannuation</w:t>
      </w:r>
    </w:p>
    <w:p w:rsidR="009857A1" w:rsidRPr="00AC3633" w:rsidRDefault="009857A1" w:rsidP="009857A1">
      <w:pPr>
        <w:pStyle w:val="Bullet1"/>
        <w:rPr>
          <w:lang w:eastAsia="en-US"/>
        </w:rPr>
      </w:pPr>
      <w:r w:rsidRPr="00AC3633">
        <w:rPr>
          <w:lang w:eastAsia="en-US"/>
        </w:rPr>
        <w:t>Calculated at 9.50 per cent</w:t>
      </w:r>
      <w:r>
        <w:rPr>
          <w:lang w:eastAsia="en-US"/>
        </w:rPr>
        <w:t xml:space="preserve"> from 2017-18 to 2020-21. Calculated at 10 per cent in 2020-21 to reflect the legislated increase in Superannuation Guarantee contributions from 1 July 2021.</w:t>
      </w:r>
    </w:p>
    <w:p w:rsidR="009857A1" w:rsidRPr="00AC3633" w:rsidRDefault="009857A1" w:rsidP="009857A1">
      <w:pPr>
        <w:pStyle w:val="Bullet1"/>
        <w:rPr>
          <w:lang w:eastAsia="en-US"/>
        </w:rPr>
      </w:pPr>
      <w:r w:rsidRPr="00AC3633">
        <w:rPr>
          <w:lang w:eastAsia="en-US"/>
        </w:rPr>
        <w:t xml:space="preserve">Executive officer TRP is inclusive of superannuation. </w:t>
      </w:r>
    </w:p>
    <w:p w:rsidR="009857A1" w:rsidRPr="00AC3633" w:rsidRDefault="009857A1" w:rsidP="009857A1">
      <w:pPr>
        <w:pStyle w:val="Heading4"/>
        <w:ind w:left="0"/>
      </w:pPr>
      <w:r w:rsidRPr="00AC3633">
        <w:t>Salary on-costs</w:t>
      </w:r>
    </w:p>
    <w:p w:rsidR="009857A1" w:rsidRPr="00AC3633" w:rsidRDefault="009857A1" w:rsidP="009857A1">
      <w:pPr>
        <w:pStyle w:val="Bullet1"/>
        <w:rPr>
          <w:lang w:eastAsia="en-US"/>
        </w:rPr>
      </w:pPr>
      <w:r w:rsidRPr="00AC3633">
        <w:rPr>
          <w:lang w:eastAsia="en-US"/>
        </w:rPr>
        <w:t>Salary on-costs are calculated as a percentage of the salary to be paid and are based on the following assumptions:</w:t>
      </w:r>
    </w:p>
    <w:p w:rsidR="009857A1" w:rsidRPr="00AC3633" w:rsidRDefault="009857A1" w:rsidP="009857A1">
      <w:pPr>
        <w:pStyle w:val="Bullet2"/>
        <w:rPr>
          <w:lang w:eastAsia="en-US"/>
        </w:rPr>
      </w:pPr>
      <w:r w:rsidRPr="00AC3633">
        <w:rPr>
          <w:lang w:eastAsia="en-US"/>
        </w:rPr>
        <w:t>the average WorkCover premium rate is 1.272 per cent</w:t>
      </w:r>
      <w:r>
        <w:rPr>
          <w:lang w:eastAsia="en-US"/>
        </w:rPr>
        <w:t xml:space="preserve"> of rateable remuneration</w:t>
      </w:r>
      <w:r w:rsidRPr="00AC3633">
        <w:rPr>
          <w:lang w:eastAsia="en-US"/>
        </w:rPr>
        <w:t xml:space="preserve"> and is based on the average rate published in the </w:t>
      </w:r>
      <w:r>
        <w:rPr>
          <w:lang w:eastAsia="en-US"/>
        </w:rPr>
        <w:t>WorkSafe Victoria Annual Report. The WorkCover premium rate is applied to wages, superannuation and leave loading.</w:t>
      </w:r>
    </w:p>
    <w:p w:rsidR="009857A1" w:rsidRPr="00AC3633" w:rsidRDefault="009857A1" w:rsidP="009857A1">
      <w:pPr>
        <w:pStyle w:val="Bullet2"/>
        <w:rPr>
          <w:lang w:eastAsia="en-US"/>
        </w:rPr>
      </w:pPr>
      <w:r w:rsidRPr="00AC3633">
        <w:rPr>
          <w:lang w:eastAsia="en-US"/>
        </w:rPr>
        <w:t xml:space="preserve">the payroll tax rate is </w:t>
      </w:r>
      <w:r>
        <w:rPr>
          <w:lang w:eastAsia="en-US"/>
        </w:rPr>
        <w:t>4.85 per cent of taxable wages. Taxable wages includes wages, superannuation and leave loading.</w:t>
      </w:r>
    </w:p>
    <w:p w:rsidR="009857A1" w:rsidRPr="00AC3633" w:rsidRDefault="009857A1" w:rsidP="009857A1">
      <w:pPr>
        <w:pStyle w:val="Bullet2"/>
        <w:rPr>
          <w:lang w:eastAsia="en-US"/>
        </w:rPr>
      </w:pPr>
      <w:r w:rsidRPr="00AC3633">
        <w:rPr>
          <w:lang w:eastAsia="en-US"/>
        </w:rPr>
        <w:t>recreation leave loading at the rate of 17.5 per cent of salary for four weeks annual leave, capped at the VPS 4 level; and</w:t>
      </w:r>
    </w:p>
    <w:p w:rsidR="009857A1" w:rsidRPr="00AC3633" w:rsidRDefault="009857A1" w:rsidP="009857A1">
      <w:pPr>
        <w:pStyle w:val="Bullet2"/>
        <w:rPr>
          <w:lang w:eastAsia="en-US"/>
        </w:rPr>
      </w:pPr>
      <w:r w:rsidRPr="00AC3633">
        <w:rPr>
          <w:lang w:eastAsia="en-US"/>
        </w:rPr>
        <w:t xml:space="preserve">long service leave provision has been calculated at the rate of 2.5 per cent. </w:t>
      </w:r>
    </w:p>
    <w:p w:rsidR="009857A1" w:rsidRPr="00AC3633" w:rsidRDefault="009857A1" w:rsidP="009857A1">
      <w:pPr>
        <w:pStyle w:val="Bullet1"/>
      </w:pPr>
      <w:r w:rsidRPr="00AC3633">
        <w:rPr>
          <w:lang w:eastAsia="en-US"/>
        </w:rPr>
        <w:t xml:space="preserve">The salary on-costs may be adjusted where an initiative requires employment of a specialist workforce where the average on-costs for this workforce vary materially to the on-cost rates above. For example, the on-costs could be amended where the WorkCover premium rate paid in relation to this workforce significantly exceeds the average rate, or where the nature of the workforce requires significant use of </w:t>
      </w:r>
      <w:r w:rsidRPr="00AC3633">
        <w:t>penalty rates.</w:t>
      </w:r>
    </w:p>
    <w:p w:rsidR="009857A1" w:rsidRPr="00AC3633" w:rsidRDefault="009857A1" w:rsidP="009857A1">
      <w:pPr>
        <w:pStyle w:val="Heading4"/>
        <w:ind w:left="0"/>
      </w:pPr>
      <w:r w:rsidRPr="00AC3633">
        <w:t>Operating costs</w:t>
      </w:r>
    </w:p>
    <w:p w:rsidR="009857A1" w:rsidRPr="00AC3633" w:rsidRDefault="009857A1" w:rsidP="009857A1">
      <w:pPr>
        <w:pStyle w:val="Bullet1"/>
        <w:rPr>
          <w:lang w:eastAsia="en-US"/>
        </w:rPr>
      </w:pPr>
      <w:r w:rsidRPr="00AC3633">
        <w:rPr>
          <w:lang w:eastAsia="en-US"/>
        </w:rPr>
        <w:t xml:space="preserve">Operating costs include an estimated average allowance for stationery, telephones, printing, training </w:t>
      </w:r>
      <w:r w:rsidR="00026339" w:rsidRPr="00AC3633">
        <w:rPr>
          <w:lang w:eastAsia="en-US"/>
        </w:rPr>
        <w:t>etc.</w:t>
      </w:r>
      <w:r w:rsidRPr="00AC3633">
        <w:rPr>
          <w:lang w:eastAsia="en-US"/>
        </w:rPr>
        <w:t xml:space="preserve"> and</w:t>
      </w:r>
      <w:r>
        <w:rPr>
          <w:lang w:eastAsia="en-US"/>
        </w:rPr>
        <w:t xml:space="preserve"> includes the metropolitan CenIT</w:t>
      </w:r>
      <w:r w:rsidRPr="00AC3633">
        <w:rPr>
          <w:lang w:eastAsia="en-US"/>
        </w:rPr>
        <w:t>ex charge for the provision of a single PC.</w:t>
      </w:r>
    </w:p>
    <w:p w:rsidR="009857A1" w:rsidRPr="00AC3633" w:rsidRDefault="009857A1" w:rsidP="009857A1">
      <w:pPr>
        <w:pStyle w:val="Bullet1"/>
        <w:rPr>
          <w:lang w:eastAsia="en-US"/>
        </w:rPr>
      </w:pPr>
      <w:r w:rsidRPr="00AC3633">
        <w:rPr>
          <w:lang w:eastAsia="en-US"/>
        </w:rPr>
        <w:t>The operating costs do not include any of the following costs as additional expenditure should not be incurred for the majority of positions:</w:t>
      </w:r>
    </w:p>
    <w:p w:rsidR="009857A1" w:rsidRPr="00AC3633" w:rsidRDefault="009857A1" w:rsidP="009857A1">
      <w:pPr>
        <w:pStyle w:val="Bullet2"/>
        <w:rPr>
          <w:lang w:eastAsia="en-US"/>
        </w:rPr>
      </w:pPr>
      <w:r w:rsidRPr="00AC3633">
        <w:rPr>
          <w:lang w:eastAsia="en-US"/>
        </w:rPr>
        <w:t>Accommodation (e.g. rental and fit-out);</w:t>
      </w:r>
    </w:p>
    <w:p w:rsidR="009857A1" w:rsidRPr="00AC3633" w:rsidRDefault="009857A1" w:rsidP="009857A1">
      <w:pPr>
        <w:pStyle w:val="Bullet2"/>
        <w:rPr>
          <w:lang w:eastAsia="en-US"/>
        </w:rPr>
      </w:pPr>
      <w:r w:rsidRPr="00AC3633">
        <w:rPr>
          <w:lang w:eastAsia="en-US"/>
        </w:rPr>
        <w:t>Employee establishment costs (e.g. purchase of additional IT equipment, furniture); or</w:t>
      </w:r>
    </w:p>
    <w:p w:rsidR="009857A1" w:rsidRPr="00AC3633" w:rsidRDefault="009857A1" w:rsidP="009857A1">
      <w:pPr>
        <w:pStyle w:val="Bullet2"/>
        <w:rPr>
          <w:lang w:eastAsia="en-US"/>
        </w:rPr>
      </w:pPr>
      <w:r w:rsidRPr="00AC3633">
        <w:rPr>
          <w:lang w:eastAsia="en-US"/>
        </w:rPr>
        <w:t>Motor vehicle.</w:t>
      </w:r>
    </w:p>
    <w:p w:rsidR="009857A1" w:rsidRPr="00AC3633" w:rsidRDefault="009857A1" w:rsidP="009857A1">
      <w:pPr>
        <w:pStyle w:val="NormalIndent"/>
        <w:ind w:left="0"/>
      </w:pPr>
      <w:r w:rsidRPr="00AC3633">
        <w:rPr>
          <w:lang w:eastAsia="en-US"/>
        </w:rPr>
        <w:t>If the budget proposal needs to include costings for any of the above costs, the submission should clearly justify the inclusion</w:t>
      </w:r>
      <w:r w:rsidR="00206B9A">
        <w:rPr>
          <w:lang w:eastAsia="en-US"/>
        </w:rPr>
        <w:t xml:space="preserve"> and provide</w:t>
      </w:r>
      <w:r w:rsidRPr="00AC3633">
        <w:rPr>
          <w:lang w:eastAsia="en-US"/>
        </w:rPr>
        <w:t xml:space="preserve"> a detailed estimate of these costs, including the basis of this estimate.</w:t>
      </w:r>
    </w:p>
    <w:bookmarkEnd w:id="11"/>
    <w:bookmarkEnd w:id="12"/>
    <w:bookmarkEnd w:id="13"/>
    <w:p w:rsidR="009857A1" w:rsidRDefault="009857A1" w:rsidP="009F5EB2">
      <w:pPr>
        <w:pStyle w:val="Heading4"/>
        <w:ind w:left="0"/>
      </w:pPr>
    </w:p>
    <w:p w:rsidR="009857A1" w:rsidRDefault="009857A1">
      <w:pPr>
        <w:spacing w:before="0" w:after="200"/>
        <w:rPr>
          <w:rFonts w:asciiTheme="majorHAnsi" w:eastAsiaTheme="majorEastAsia" w:hAnsiTheme="majorHAnsi" w:cstheme="majorBidi"/>
          <w:b/>
          <w:bCs/>
          <w:iCs/>
          <w:color w:val="53565A"/>
        </w:rPr>
      </w:pPr>
      <w:r>
        <w:br w:type="page"/>
      </w:r>
    </w:p>
    <w:p w:rsidR="009F5EB2" w:rsidRPr="003051AD" w:rsidRDefault="009F5EB2" w:rsidP="009F5EB2">
      <w:pPr>
        <w:pStyle w:val="Heading4"/>
        <w:ind w:left="0"/>
      </w:pPr>
      <w:r w:rsidRPr="003051AD">
        <w:lastRenderedPageBreak/>
        <w:t>Staff categories</w:t>
      </w:r>
    </w:p>
    <w:p w:rsidR="009F5EB2" w:rsidRPr="003051AD" w:rsidRDefault="009F5EB2" w:rsidP="006923BE">
      <w:pPr>
        <w:pStyle w:val="NormalIndent"/>
        <w:ind w:left="0"/>
      </w:pPr>
      <w:r w:rsidRPr="003051AD">
        <w:t>The</w:t>
      </w:r>
      <w:r>
        <w:t xml:space="preserve"> business case</w:t>
      </w:r>
      <w:r w:rsidRPr="003051AD">
        <w:t xml:space="preserve"> template</w:t>
      </w:r>
      <w:r>
        <w:t xml:space="preserve"> requires that Departments distinguish between staff related to budget proposals.</w:t>
      </w:r>
      <w:r w:rsidRPr="003051AD">
        <w:t xml:space="preserve"> These are: </w:t>
      </w:r>
    </w:p>
    <w:p w:rsidR="009F5EB2" w:rsidRDefault="00E21CC3" w:rsidP="007D22E6">
      <w:pPr>
        <w:pStyle w:val="NormalIndent"/>
        <w:numPr>
          <w:ilvl w:val="0"/>
          <w:numId w:val="6"/>
        </w:numPr>
        <w:spacing w:before="0"/>
      </w:pPr>
      <w:r w:rsidRPr="003051AD">
        <w:t xml:space="preserve">Front line </w:t>
      </w:r>
      <w:r w:rsidR="009F5EB2">
        <w:t>– client-facing roles</w:t>
      </w:r>
      <w:r w:rsidR="00F7686F">
        <w:t xml:space="preserve"> (e.g. paramedics &amp; juvenile justice workers)</w:t>
      </w:r>
      <w:r w:rsidR="009857A1">
        <w:t>;</w:t>
      </w:r>
    </w:p>
    <w:p w:rsidR="009F5EB2" w:rsidRDefault="009F5EB2" w:rsidP="007D22E6">
      <w:pPr>
        <w:pStyle w:val="NormalIndent"/>
        <w:numPr>
          <w:ilvl w:val="0"/>
          <w:numId w:val="6"/>
        </w:numPr>
      </w:pPr>
      <w:r>
        <w:t>Back o</w:t>
      </w:r>
      <w:r w:rsidR="009857A1">
        <w:t>ffice – non-client facing roles; and</w:t>
      </w:r>
    </w:p>
    <w:p w:rsidR="00E21CC3" w:rsidRPr="009F5EB2" w:rsidRDefault="009F5EB2" w:rsidP="007D22E6">
      <w:pPr>
        <w:pStyle w:val="NormalIndent"/>
        <w:numPr>
          <w:ilvl w:val="0"/>
          <w:numId w:val="6"/>
        </w:numPr>
      </w:pPr>
      <w:r>
        <w:t xml:space="preserve">Contractor – </w:t>
      </w:r>
      <w:r w:rsidR="00A04984">
        <w:t>i</w:t>
      </w:r>
      <w:r w:rsidR="00633A59" w:rsidRPr="00633A59">
        <w:t xml:space="preserve">ndividual or </w:t>
      </w:r>
      <w:r w:rsidR="00A04984">
        <w:t>o</w:t>
      </w:r>
      <w:r w:rsidR="00633A59" w:rsidRPr="00633A59">
        <w:t>rganisation (other than a consultant) who is engaged to undertake work that would or could be regarded as normally undertaken by an employee</w:t>
      </w:r>
      <w:r w:rsidR="00956E55">
        <w:t>.</w:t>
      </w:r>
      <w:r w:rsidR="00633A59" w:rsidRPr="00633A59">
        <w:t xml:space="preserve"> </w:t>
      </w:r>
    </w:p>
    <w:p w:rsidR="00AB5B01" w:rsidRPr="009F5EB2" w:rsidRDefault="00E44090" w:rsidP="00141DC3">
      <w:pPr>
        <w:pStyle w:val="Heading2"/>
        <w:ind w:left="0"/>
      </w:pPr>
      <w:bookmarkStart w:id="17" w:name="_Toc467597516"/>
      <w:bookmarkStart w:id="18" w:name="_Toc467771263"/>
      <w:bookmarkStart w:id="19" w:name="_Toc492466343"/>
      <w:r w:rsidRPr="009F5EB2">
        <w:t>Other policy and program specific cost</w:t>
      </w:r>
      <w:bookmarkEnd w:id="17"/>
      <w:r w:rsidR="00372D93" w:rsidRPr="009F5EB2">
        <w:t>s</w:t>
      </w:r>
      <w:bookmarkEnd w:id="18"/>
      <w:bookmarkEnd w:id="19"/>
    </w:p>
    <w:p w:rsidR="00982B37" w:rsidRDefault="00922522" w:rsidP="003051AD">
      <w:pPr>
        <w:pStyle w:val="NormalIndent"/>
        <w:ind w:left="0"/>
      </w:pPr>
      <w:r w:rsidRPr="009F5EB2">
        <w:t xml:space="preserve">The methodology for the costing of other policy and program specific costs will vary on a </w:t>
      </w:r>
      <w:r w:rsidRPr="009F5EB2">
        <w:rPr>
          <w:b/>
        </w:rPr>
        <w:t>case-by-case basis</w:t>
      </w:r>
      <w:r w:rsidRPr="009F5EB2">
        <w:t xml:space="preserve">, however, as a general rule departments should aim to provide </w:t>
      </w:r>
      <w:r w:rsidR="008013CD" w:rsidRPr="009F5EB2">
        <w:t xml:space="preserve">sufficient justification that </w:t>
      </w:r>
      <w:r w:rsidRPr="009F5EB2">
        <w:t xml:space="preserve">demonstrates </w:t>
      </w:r>
      <w:r w:rsidRPr="009F5EB2">
        <w:rPr>
          <w:b/>
        </w:rPr>
        <w:t>what</w:t>
      </w:r>
      <w:r w:rsidRPr="009F5EB2">
        <w:t xml:space="preserve"> is being purchased, </w:t>
      </w:r>
      <w:r w:rsidRPr="009F5EB2">
        <w:rPr>
          <w:b/>
        </w:rPr>
        <w:t>why</w:t>
      </w:r>
      <w:r w:rsidRPr="009F5EB2">
        <w:t xml:space="preserve"> it is required, and </w:t>
      </w:r>
      <w:r w:rsidRPr="009F5EB2">
        <w:rPr>
          <w:b/>
        </w:rPr>
        <w:t>how</w:t>
      </w:r>
      <w:r w:rsidRPr="009F5EB2">
        <w:t xml:space="preserve"> the costs have been derived. </w:t>
      </w:r>
    </w:p>
    <w:p w:rsidR="00982B37" w:rsidRDefault="00982B37" w:rsidP="003051AD">
      <w:pPr>
        <w:pStyle w:val="NormalIndent"/>
        <w:ind w:left="0"/>
      </w:pPr>
      <w:r>
        <w:t>DTF requests that d</w:t>
      </w:r>
      <w:r w:rsidR="00922522" w:rsidRPr="009F5EB2">
        <w:t>epartments</w:t>
      </w:r>
      <w:r>
        <w:t>:</w:t>
      </w:r>
    </w:p>
    <w:p w:rsidR="00982B37" w:rsidRDefault="00E82C0E" w:rsidP="007D22E6">
      <w:pPr>
        <w:pStyle w:val="NormalIndent"/>
        <w:numPr>
          <w:ilvl w:val="0"/>
          <w:numId w:val="6"/>
        </w:numPr>
        <w:spacing w:before="0"/>
      </w:pPr>
      <w:r w:rsidRPr="009F5EB2">
        <w:t xml:space="preserve">consider the </w:t>
      </w:r>
      <w:r w:rsidRPr="00982B37">
        <w:rPr>
          <w:b/>
        </w:rPr>
        <w:t>Costing guiding principles</w:t>
      </w:r>
      <w:r w:rsidRPr="00982B37">
        <w:t xml:space="preserve"> </w:t>
      </w:r>
      <w:r w:rsidR="00362ECB" w:rsidRPr="009F5EB2">
        <w:t>in the</w:t>
      </w:r>
      <w:r w:rsidR="00A04984">
        <w:t xml:space="preserve"> following</w:t>
      </w:r>
      <w:r w:rsidR="00362ECB" w:rsidRPr="009F5EB2">
        <w:t xml:space="preserve"> table </w:t>
      </w:r>
      <w:r w:rsidRPr="009F5EB2">
        <w:t>when calculating any non-staffing policy and program specific costs</w:t>
      </w:r>
    </w:p>
    <w:p w:rsidR="005C4E03" w:rsidRPr="00982B37" w:rsidRDefault="00E82C0E" w:rsidP="007D22E6">
      <w:pPr>
        <w:pStyle w:val="NormalIndent"/>
        <w:numPr>
          <w:ilvl w:val="0"/>
          <w:numId w:val="6"/>
        </w:numPr>
        <w:spacing w:before="0"/>
      </w:pPr>
      <w:r w:rsidRPr="009F5EB2">
        <w:t xml:space="preserve">engage with DTF </w:t>
      </w:r>
      <w:r w:rsidR="002369FA" w:rsidRPr="009F5EB2">
        <w:t>early</w:t>
      </w:r>
      <w:r w:rsidRPr="009F5EB2">
        <w:t xml:space="preserve"> in the costing process to discuss the preferred costing methodology/approach.</w:t>
      </w:r>
      <w:bookmarkStart w:id="20" w:name="_Toc467771264"/>
    </w:p>
    <w:p w:rsidR="00460D96" w:rsidRPr="00F97DF3" w:rsidRDefault="00460D96" w:rsidP="00141DC3">
      <w:pPr>
        <w:pStyle w:val="Heading3"/>
        <w:ind w:left="0"/>
      </w:pPr>
      <w:bookmarkStart w:id="21" w:name="_Toc492466344"/>
      <w:r w:rsidRPr="00F97DF3">
        <w:lastRenderedPageBreak/>
        <w:t>Costing guiding principles</w:t>
      </w:r>
      <w:bookmarkEnd w:id="20"/>
      <w:bookmarkEnd w:id="21"/>
    </w:p>
    <w:tbl>
      <w:tblPr>
        <w:tblStyle w:val="DTFtexttableindent"/>
        <w:tblW w:w="4973" w:type="pct"/>
        <w:tblInd w:w="57" w:type="dxa"/>
        <w:tblLook w:val="0620" w:firstRow="1" w:lastRow="0" w:firstColumn="0" w:lastColumn="0" w:noHBand="1" w:noVBand="1"/>
      </w:tblPr>
      <w:tblGrid>
        <w:gridCol w:w="3030"/>
        <w:gridCol w:w="3030"/>
        <w:gridCol w:w="3031"/>
      </w:tblGrid>
      <w:tr w:rsidR="00460D96" w:rsidRPr="00BF4221" w:rsidTr="00141DC3">
        <w:trPr>
          <w:cnfStyle w:val="100000000000" w:firstRow="1" w:lastRow="0" w:firstColumn="0" w:lastColumn="0" w:oddVBand="0" w:evenVBand="0" w:oddHBand="0" w:evenHBand="0" w:firstRowFirstColumn="0" w:firstRowLastColumn="0" w:lastRowFirstColumn="0" w:lastRowLastColumn="0"/>
        </w:trPr>
        <w:tc>
          <w:tcPr>
            <w:tcW w:w="1666" w:type="pct"/>
            <w:tcBorders>
              <w:bottom w:val="nil"/>
            </w:tcBorders>
            <w:vAlign w:val="center"/>
          </w:tcPr>
          <w:p w:rsidR="00460D96" w:rsidRPr="00BF4221" w:rsidRDefault="00460D96" w:rsidP="002A37AC">
            <w:pPr>
              <w:pStyle w:val="Tableheader"/>
            </w:pPr>
            <w:r>
              <w:t>Components/activity</w:t>
            </w:r>
          </w:p>
        </w:tc>
        <w:tc>
          <w:tcPr>
            <w:tcW w:w="1666" w:type="pct"/>
            <w:tcBorders>
              <w:bottom w:val="nil"/>
            </w:tcBorders>
            <w:vAlign w:val="center"/>
          </w:tcPr>
          <w:p w:rsidR="00460D96" w:rsidRPr="00BF4221" w:rsidRDefault="00460D96" w:rsidP="002A37AC">
            <w:pPr>
              <w:pStyle w:val="Tableheader"/>
            </w:pPr>
            <w:r>
              <w:t>Cost drivers/methodology</w:t>
            </w:r>
          </w:p>
        </w:tc>
        <w:tc>
          <w:tcPr>
            <w:tcW w:w="1667" w:type="pct"/>
            <w:tcBorders>
              <w:bottom w:val="nil"/>
            </w:tcBorders>
            <w:vAlign w:val="center"/>
          </w:tcPr>
          <w:p w:rsidR="00460D96" w:rsidRPr="00BF4221" w:rsidRDefault="00460D96" w:rsidP="002A37AC">
            <w:pPr>
              <w:pStyle w:val="Tableheader"/>
            </w:pPr>
            <w:r>
              <w:t>Assumptions/supporting i</w:t>
            </w:r>
            <w:r w:rsidR="002A37AC">
              <w:t>nformation</w:t>
            </w:r>
          </w:p>
        </w:tc>
      </w:tr>
      <w:tr w:rsidR="00460D96" w:rsidRPr="00802B79" w:rsidTr="00141DC3">
        <w:tc>
          <w:tcPr>
            <w:tcW w:w="1666" w:type="pct"/>
            <w:tcBorders>
              <w:left w:val="nil"/>
              <w:bottom w:val="single" w:sz="12" w:space="0" w:color="0063A6" w:themeColor="accent1"/>
              <w:right w:val="nil"/>
            </w:tcBorders>
            <w:shd w:val="clear" w:color="auto" w:fill="FFFFFF" w:themeFill="background1"/>
          </w:tcPr>
          <w:p w:rsidR="00460D96" w:rsidRPr="00BA440A" w:rsidRDefault="00460D96" w:rsidP="00EF138D">
            <w:pPr>
              <w:pStyle w:val="Tablebullet"/>
            </w:pPr>
            <w:r w:rsidRPr="00BA440A">
              <w:t xml:space="preserve">Cost should be categorised by the departmental output </w:t>
            </w:r>
            <w:r w:rsidR="008013CD">
              <w:t xml:space="preserve">to which </w:t>
            </w:r>
            <w:r w:rsidRPr="00BA440A">
              <w:t>expenses contribute</w:t>
            </w:r>
            <w:r w:rsidR="008013CD">
              <w:t>.</w:t>
            </w:r>
          </w:p>
          <w:p w:rsidR="00460D96" w:rsidRPr="00BA440A" w:rsidRDefault="00460D96" w:rsidP="00EF138D">
            <w:pPr>
              <w:pStyle w:val="Tablebullet"/>
            </w:pPr>
            <w:r w:rsidRPr="00BA440A">
              <w:t>Distinc</w:t>
            </w:r>
            <w:r w:rsidR="002369FA">
              <w:t>t activities and components of</w:t>
            </w:r>
            <w:r w:rsidRPr="00BA440A">
              <w:t xml:space="preserve"> costings should be </w:t>
            </w:r>
            <w:r w:rsidRPr="00BA440A">
              <w:rPr>
                <w:b/>
              </w:rPr>
              <w:t>disaggregated, categorised</w:t>
            </w:r>
            <w:r w:rsidRPr="00BA440A">
              <w:t xml:space="preserve"> and </w:t>
            </w:r>
            <w:r w:rsidRPr="00362ECB">
              <w:rPr>
                <w:b/>
              </w:rPr>
              <w:t>logically</w:t>
            </w:r>
            <w:r w:rsidRPr="00BA440A">
              <w:t xml:space="preserve"> </w:t>
            </w:r>
            <w:r w:rsidRPr="00BA440A">
              <w:rPr>
                <w:b/>
              </w:rPr>
              <w:t>presented</w:t>
            </w:r>
            <w:r w:rsidRPr="00BA440A">
              <w:t xml:space="preserve">. For example, this could include, but is not limited to, </w:t>
            </w:r>
            <w:r w:rsidRPr="00AF3F3D">
              <w:rPr>
                <w:b/>
              </w:rPr>
              <w:t>separating</w:t>
            </w:r>
            <w:r w:rsidRPr="00BA440A">
              <w:t xml:space="preserve">: </w:t>
            </w:r>
          </w:p>
          <w:p w:rsidR="00460D96" w:rsidRPr="00BA440A" w:rsidRDefault="00460D96" w:rsidP="00EF138D">
            <w:pPr>
              <w:pStyle w:val="Tabledash"/>
            </w:pPr>
            <w:r w:rsidRPr="00BA440A">
              <w:rPr>
                <w:b/>
              </w:rPr>
              <w:t>output</w:t>
            </w:r>
            <w:r w:rsidRPr="00BA440A">
              <w:t xml:space="preserve"> from </w:t>
            </w:r>
            <w:r w:rsidRPr="00BA440A">
              <w:rPr>
                <w:b/>
              </w:rPr>
              <w:t>asset</w:t>
            </w:r>
            <w:r w:rsidRPr="00BA440A">
              <w:t xml:space="preserve"> costs;</w:t>
            </w:r>
          </w:p>
          <w:p w:rsidR="00460D96" w:rsidRPr="00BA440A" w:rsidRDefault="00460D96" w:rsidP="00EF138D">
            <w:pPr>
              <w:pStyle w:val="Tabledash"/>
            </w:pPr>
            <w:r w:rsidRPr="00EF138D">
              <w:rPr>
                <w:b/>
              </w:rPr>
              <w:t>staffing costs</w:t>
            </w:r>
            <w:r w:rsidRPr="00BA440A">
              <w:t xml:space="preserve"> from </w:t>
            </w:r>
            <w:r w:rsidRPr="00EF138D">
              <w:rPr>
                <w:b/>
              </w:rPr>
              <w:t>other non-staffing policy and  program specific costs</w:t>
            </w:r>
            <w:r w:rsidRPr="00BA440A">
              <w:t xml:space="preserve">; </w:t>
            </w:r>
          </w:p>
          <w:p w:rsidR="00460D96" w:rsidRPr="00BA440A" w:rsidRDefault="00460D96" w:rsidP="00EF138D">
            <w:pPr>
              <w:pStyle w:val="Tabledash"/>
            </w:pPr>
            <w:r w:rsidRPr="00BA440A">
              <w:t xml:space="preserve">distinct </w:t>
            </w:r>
            <w:r w:rsidRPr="00BA440A">
              <w:rPr>
                <w:b/>
              </w:rPr>
              <w:t>items</w:t>
            </w:r>
            <w:r w:rsidRPr="00BA440A">
              <w:t xml:space="preserve"> to be purchased, </w:t>
            </w:r>
            <w:r w:rsidRPr="00BA440A">
              <w:rPr>
                <w:b/>
              </w:rPr>
              <w:t>activities</w:t>
            </w:r>
            <w:r w:rsidRPr="00BA440A">
              <w:t xml:space="preserve"> and </w:t>
            </w:r>
            <w:r w:rsidRPr="00BA440A">
              <w:rPr>
                <w:b/>
              </w:rPr>
              <w:t>functions</w:t>
            </w:r>
            <w:r w:rsidRPr="00BA440A">
              <w:t xml:space="preserve"> to be performed; </w:t>
            </w:r>
          </w:p>
          <w:p w:rsidR="00460D96" w:rsidRPr="00BA440A" w:rsidRDefault="0020394D" w:rsidP="00EF138D">
            <w:pPr>
              <w:pStyle w:val="Tabledash"/>
            </w:pPr>
            <w:r w:rsidRPr="00EF138D">
              <w:rPr>
                <w:b/>
              </w:rPr>
              <w:t xml:space="preserve">business </w:t>
            </w:r>
            <w:r w:rsidR="00460D96" w:rsidRPr="00EF138D">
              <w:rPr>
                <w:b/>
              </w:rPr>
              <w:t>areas</w:t>
            </w:r>
            <w:r w:rsidR="00460D96" w:rsidRPr="00BA440A">
              <w:t xml:space="preserve"> of the </w:t>
            </w:r>
            <w:r w:rsidR="00460D96" w:rsidRPr="0020394D">
              <w:t>department</w:t>
            </w:r>
            <w:r w:rsidR="00460D96" w:rsidRPr="00BA440A">
              <w:t xml:space="preserve">, </w:t>
            </w:r>
            <w:r w:rsidR="00460D96" w:rsidRPr="00EF138D">
              <w:rPr>
                <w:b/>
              </w:rPr>
              <w:t>teams structure</w:t>
            </w:r>
            <w:r w:rsidR="00460D96" w:rsidRPr="00BA440A">
              <w:t xml:space="preserve">, and </w:t>
            </w:r>
            <w:r w:rsidR="00460D96" w:rsidRPr="00EF138D">
              <w:rPr>
                <w:b/>
              </w:rPr>
              <w:t>roles</w:t>
            </w:r>
            <w:r w:rsidR="00460D96" w:rsidRPr="00BA440A">
              <w:t>.</w:t>
            </w:r>
          </w:p>
          <w:p w:rsidR="00460D96" w:rsidRPr="00BA440A" w:rsidRDefault="00460D96" w:rsidP="00EF138D">
            <w:pPr>
              <w:pStyle w:val="Tabledash"/>
            </w:pPr>
            <w:r w:rsidRPr="00BA440A">
              <w:rPr>
                <w:b/>
              </w:rPr>
              <w:t>VPS</w:t>
            </w:r>
            <w:r w:rsidRPr="00BA440A">
              <w:t xml:space="preserve"> </w:t>
            </w:r>
            <w:r w:rsidRPr="00BA440A">
              <w:rPr>
                <w:b/>
              </w:rPr>
              <w:t xml:space="preserve">staff, VPS Aligned, Non-VPS Aligned Adaptive Structures </w:t>
            </w:r>
            <w:r w:rsidRPr="00BA440A">
              <w:t xml:space="preserve">(covered by the Victorian Public Service Enterprise Agreement 2016) </w:t>
            </w:r>
            <w:r w:rsidRPr="00BA440A">
              <w:rPr>
                <w:b/>
              </w:rPr>
              <w:t>and other staffing classification</w:t>
            </w:r>
            <w:r w:rsidRPr="00BA440A">
              <w:t xml:space="preserve"> captured by other enterprise agreements; </w:t>
            </w:r>
          </w:p>
          <w:p w:rsidR="00460D96" w:rsidRPr="00BA440A" w:rsidRDefault="00460D96" w:rsidP="00EF138D">
            <w:pPr>
              <w:pStyle w:val="Tabledash"/>
            </w:pPr>
            <w:r w:rsidRPr="00BA440A">
              <w:t>services and activities performed</w:t>
            </w:r>
            <w:r w:rsidRPr="00BA440A">
              <w:rPr>
                <w:b/>
              </w:rPr>
              <w:t xml:space="preserve"> by the department</w:t>
            </w:r>
            <w:r w:rsidRPr="00BA440A">
              <w:t>;</w:t>
            </w:r>
          </w:p>
          <w:p w:rsidR="00460D96" w:rsidRPr="00BA440A" w:rsidRDefault="00460D96" w:rsidP="00EF138D">
            <w:pPr>
              <w:pStyle w:val="Tabledash"/>
            </w:pPr>
            <w:r w:rsidRPr="00BA440A">
              <w:t xml:space="preserve">services purchased </w:t>
            </w:r>
            <w:r w:rsidRPr="00BA440A">
              <w:rPr>
                <w:b/>
              </w:rPr>
              <w:t>from</w:t>
            </w:r>
            <w:r w:rsidRPr="00BA440A">
              <w:t xml:space="preserve"> or</w:t>
            </w:r>
            <w:r w:rsidRPr="00BA440A">
              <w:rPr>
                <w:b/>
              </w:rPr>
              <w:t xml:space="preserve"> via a third party</w:t>
            </w:r>
            <w:r w:rsidRPr="00BA440A">
              <w:t xml:space="preserve">; </w:t>
            </w:r>
          </w:p>
          <w:p w:rsidR="00460D96" w:rsidRPr="00BA440A" w:rsidRDefault="00460D96" w:rsidP="00EF138D">
            <w:pPr>
              <w:pStyle w:val="Tabledash"/>
            </w:pPr>
            <w:r w:rsidRPr="00BA440A">
              <w:t>services or funding administered on behalf of a third party.</w:t>
            </w:r>
          </w:p>
          <w:p w:rsidR="00460D96" w:rsidRPr="00EF138D" w:rsidRDefault="00460D96" w:rsidP="00EF138D">
            <w:pPr>
              <w:pStyle w:val="Tabledash"/>
            </w:pPr>
            <w:r w:rsidRPr="00EF138D">
              <w:rPr>
                <w:b/>
              </w:rPr>
              <w:t>Reprioritised</w:t>
            </w:r>
            <w:r w:rsidRPr="00BA440A">
              <w:t xml:space="preserve"> internal funding, </w:t>
            </w:r>
            <w:r w:rsidRPr="00EF138D">
              <w:rPr>
                <w:b/>
              </w:rPr>
              <w:t>user charges</w:t>
            </w:r>
            <w:r w:rsidRPr="00BA440A">
              <w:t xml:space="preserve"> and </w:t>
            </w:r>
            <w:r w:rsidRPr="00EF138D">
              <w:rPr>
                <w:b/>
              </w:rPr>
              <w:t>other revenue</w:t>
            </w:r>
            <w:r w:rsidRPr="00BA440A">
              <w:t xml:space="preserve">. </w:t>
            </w:r>
          </w:p>
        </w:tc>
        <w:tc>
          <w:tcPr>
            <w:tcW w:w="1666" w:type="pct"/>
            <w:tcBorders>
              <w:left w:val="nil"/>
              <w:bottom w:val="single" w:sz="12" w:space="0" w:color="0063A6" w:themeColor="accent1"/>
              <w:right w:val="nil"/>
            </w:tcBorders>
            <w:shd w:val="clear" w:color="auto" w:fill="FFFFFF" w:themeFill="background1"/>
          </w:tcPr>
          <w:p w:rsidR="00460D96" w:rsidRPr="00BA440A" w:rsidRDefault="00460D96" w:rsidP="00EF138D">
            <w:pPr>
              <w:pStyle w:val="Tablebullet"/>
            </w:pPr>
            <w:r w:rsidRPr="00BA440A">
              <w:t xml:space="preserve">Costings should be presented in </w:t>
            </w:r>
            <w:r w:rsidRPr="00BA440A">
              <w:rPr>
                <w:b/>
              </w:rPr>
              <w:t>M</w:t>
            </w:r>
            <w:r w:rsidR="00E02BC6">
              <w:rPr>
                <w:b/>
              </w:rPr>
              <w:t>S</w:t>
            </w:r>
            <w:r w:rsidRPr="00BA440A">
              <w:rPr>
                <w:b/>
              </w:rPr>
              <w:t xml:space="preserve"> Excel</w:t>
            </w:r>
            <w:r w:rsidRPr="00BA440A">
              <w:t xml:space="preserve"> with all </w:t>
            </w:r>
            <w:r w:rsidRPr="00BA440A">
              <w:rPr>
                <w:b/>
              </w:rPr>
              <w:t>calculations and formulas accessible</w:t>
            </w:r>
            <w:r w:rsidRPr="00BA440A">
              <w:t xml:space="preserve">. </w:t>
            </w:r>
          </w:p>
          <w:p w:rsidR="00460D96" w:rsidRPr="00BA440A" w:rsidRDefault="00460D96" w:rsidP="00EF138D">
            <w:pPr>
              <w:pStyle w:val="Tablebullet"/>
            </w:pPr>
            <w:r w:rsidRPr="00BA440A">
              <w:rPr>
                <w:b/>
              </w:rPr>
              <w:t>Unit price</w:t>
            </w:r>
            <w:r w:rsidRPr="00BA440A">
              <w:t xml:space="preserve"> and </w:t>
            </w:r>
            <w:r w:rsidRPr="00BA440A">
              <w:rPr>
                <w:b/>
              </w:rPr>
              <w:t>quantity</w:t>
            </w:r>
            <w:r w:rsidRPr="00BA440A">
              <w:t xml:space="preserve"> clearly visible and justified. </w:t>
            </w:r>
          </w:p>
          <w:p w:rsidR="00460D96" w:rsidRPr="00BA440A" w:rsidRDefault="00460D96" w:rsidP="00EF138D">
            <w:pPr>
              <w:pStyle w:val="Tablebullet"/>
            </w:pPr>
            <w:r w:rsidRPr="00BA440A">
              <w:t xml:space="preserve">Costing methodologies and cost drivers could include, but are not limited to: </w:t>
            </w:r>
          </w:p>
          <w:p w:rsidR="00460D96" w:rsidRPr="00BA440A" w:rsidRDefault="00460D96" w:rsidP="00EF138D">
            <w:pPr>
              <w:pStyle w:val="Tabledash"/>
            </w:pPr>
            <w:r w:rsidRPr="00BA440A">
              <w:rPr>
                <w:b/>
              </w:rPr>
              <w:t>Variable costs/demand driven</w:t>
            </w:r>
            <w:r w:rsidRPr="00BA440A">
              <w:t xml:space="preserve"> models</w:t>
            </w:r>
            <w:r w:rsidR="004006B0">
              <w:t>; this</w:t>
            </w:r>
            <w:r w:rsidR="004006B0" w:rsidRPr="00BA440A">
              <w:t xml:space="preserve"> </w:t>
            </w:r>
            <w:r w:rsidR="00835BF1">
              <w:t>may include</w:t>
            </w:r>
            <w:r w:rsidR="008013CD">
              <w:t xml:space="preserve"> funding requests that have</w:t>
            </w:r>
            <w:r w:rsidRPr="00BA440A">
              <w:t xml:space="preserve"> components which are highly dependent on </w:t>
            </w:r>
            <w:r w:rsidR="002369FA">
              <w:t>population / cohort growth</w:t>
            </w:r>
            <w:r w:rsidRPr="00BA440A">
              <w:t>.</w:t>
            </w:r>
          </w:p>
          <w:p w:rsidR="00460D96" w:rsidRPr="00BA440A" w:rsidRDefault="00460D96" w:rsidP="00EF138D">
            <w:pPr>
              <w:pStyle w:val="Tabledash"/>
            </w:pPr>
            <w:r w:rsidRPr="00BA440A">
              <w:rPr>
                <w:b/>
              </w:rPr>
              <w:t>Unit and fixed price elements</w:t>
            </w:r>
            <w:r w:rsidR="004006B0">
              <w:t>;</w:t>
            </w:r>
            <w:r w:rsidR="004006B0" w:rsidRPr="00BA440A">
              <w:t xml:space="preserve"> </w:t>
            </w:r>
            <w:r w:rsidRPr="00BA440A">
              <w:t xml:space="preserve">where price of a good or a service is not subject </w:t>
            </w:r>
            <w:r w:rsidR="00F928C8">
              <w:t xml:space="preserve">to </w:t>
            </w:r>
            <w:r w:rsidRPr="00BA440A">
              <w:t xml:space="preserve">change and costs are largely driven by price and quantity. </w:t>
            </w:r>
          </w:p>
          <w:p w:rsidR="00460D96" w:rsidRPr="00BA440A" w:rsidRDefault="00460D96" w:rsidP="00EF138D">
            <w:pPr>
              <w:pStyle w:val="Tabledash"/>
            </w:pPr>
            <w:r w:rsidRPr="00BA440A">
              <w:rPr>
                <w:b/>
              </w:rPr>
              <w:t xml:space="preserve">Project </w:t>
            </w:r>
            <w:r w:rsidRPr="00BA440A">
              <w:t>and</w:t>
            </w:r>
            <w:r w:rsidRPr="00BA440A">
              <w:rPr>
                <w:b/>
              </w:rPr>
              <w:t xml:space="preserve"> milestone driven models</w:t>
            </w:r>
            <w:r w:rsidR="004006B0" w:rsidRPr="000D6069">
              <w:t>;</w:t>
            </w:r>
            <w:r w:rsidR="004006B0" w:rsidRPr="00BA440A">
              <w:rPr>
                <w:b/>
              </w:rPr>
              <w:t xml:space="preserve"> </w:t>
            </w:r>
            <w:r w:rsidRPr="00BA440A">
              <w:t>where costs are dictated by agreed milestones or staged implementation.</w:t>
            </w:r>
          </w:p>
          <w:p w:rsidR="00460D96" w:rsidRPr="00BA440A" w:rsidRDefault="00460D96" w:rsidP="00EF138D">
            <w:pPr>
              <w:pStyle w:val="Tabledash"/>
            </w:pPr>
            <w:r w:rsidRPr="00BA440A">
              <w:rPr>
                <w:b/>
              </w:rPr>
              <w:t>Capped, price floors or step costs</w:t>
            </w:r>
            <w:r w:rsidR="004006B0">
              <w:t>; this</w:t>
            </w:r>
            <w:r w:rsidRPr="00BA440A">
              <w:t xml:space="preserve"> could include expenses that are constant for a given level of activity, but increase, decrease or plateau once a threshold is crossed. </w:t>
            </w:r>
          </w:p>
          <w:p w:rsidR="00460D96" w:rsidRPr="00BA440A" w:rsidRDefault="00460D96" w:rsidP="00EF138D">
            <w:pPr>
              <w:pStyle w:val="Tablebullet"/>
            </w:pPr>
            <w:r w:rsidRPr="00BA440A">
              <w:t xml:space="preserve">Staffing costs are to be derived using standard costing methodologies such as the </w:t>
            </w:r>
            <w:r w:rsidRPr="00BA440A">
              <w:rPr>
                <w:b/>
              </w:rPr>
              <w:t xml:space="preserve">standard costing model for VPS staff </w:t>
            </w:r>
            <w:r w:rsidRPr="00BA440A">
              <w:t>(</w:t>
            </w:r>
            <w:r w:rsidR="00362ECB">
              <w:t>above</w:t>
            </w:r>
            <w:r w:rsidRPr="00BA440A">
              <w:t>)</w:t>
            </w:r>
            <w:r w:rsidRPr="00BA440A">
              <w:rPr>
                <w:b/>
              </w:rPr>
              <w:t xml:space="preserve"> other models/methodologies </w:t>
            </w:r>
            <w:r w:rsidRPr="00BA440A">
              <w:t>are to be</w:t>
            </w:r>
            <w:r w:rsidRPr="00BA440A">
              <w:rPr>
                <w:b/>
              </w:rPr>
              <w:t xml:space="preserve"> agreed with DTF </w:t>
            </w:r>
            <w:r w:rsidRPr="00BA440A">
              <w:t>prior to use.</w:t>
            </w:r>
            <w:r w:rsidRPr="00BA440A">
              <w:rPr>
                <w:b/>
              </w:rPr>
              <w:t xml:space="preserve"> </w:t>
            </w:r>
          </w:p>
          <w:p w:rsidR="00ED1DC0" w:rsidRPr="00EF138D" w:rsidRDefault="00460D96" w:rsidP="00EF138D">
            <w:pPr>
              <w:pStyle w:val="Tablebullet"/>
            </w:pPr>
            <w:r w:rsidRPr="00BA440A">
              <w:rPr>
                <w:b/>
              </w:rPr>
              <w:t>Financial implications</w:t>
            </w:r>
            <w:r w:rsidRPr="00BA440A">
              <w:t xml:space="preserve"> should be presented across the </w:t>
            </w:r>
            <w:r w:rsidRPr="00BA440A">
              <w:rPr>
                <w:b/>
              </w:rPr>
              <w:t xml:space="preserve">forward estimates period </w:t>
            </w:r>
            <w:r w:rsidRPr="00BA440A">
              <w:t xml:space="preserve">and should include </w:t>
            </w:r>
            <w:r w:rsidRPr="00BA440A">
              <w:rPr>
                <w:b/>
              </w:rPr>
              <w:t>ongoing costs</w:t>
            </w:r>
            <w:r w:rsidR="00E02BC6">
              <w:rPr>
                <w:b/>
              </w:rPr>
              <w:t xml:space="preserve"> </w:t>
            </w:r>
            <w:r w:rsidR="00E02BC6" w:rsidRPr="00AA1D91">
              <w:t>– if necessary.</w:t>
            </w:r>
          </w:p>
        </w:tc>
        <w:tc>
          <w:tcPr>
            <w:tcW w:w="1667" w:type="pct"/>
            <w:tcBorders>
              <w:left w:val="nil"/>
              <w:bottom w:val="single" w:sz="12" w:space="0" w:color="0063A6" w:themeColor="accent1"/>
              <w:right w:val="nil"/>
            </w:tcBorders>
            <w:shd w:val="clear" w:color="auto" w:fill="FFFFFF" w:themeFill="background1"/>
          </w:tcPr>
          <w:p w:rsidR="00460D96" w:rsidRPr="00BA440A" w:rsidRDefault="00460D96" w:rsidP="002A37AC">
            <w:pPr>
              <w:pStyle w:val="Tablebullet"/>
              <w:ind w:left="289" w:hanging="289"/>
              <w:contextualSpacing w:val="0"/>
            </w:pPr>
            <w:r w:rsidRPr="00BA440A">
              <w:rPr>
                <w:b/>
              </w:rPr>
              <w:t>Outcome achievement</w:t>
            </w:r>
            <w:r w:rsidRPr="00BA440A">
              <w:t>, the costing and associated supporting information should demonstrate</w:t>
            </w:r>
            <w:r w:rsidR="002369FA">
              <w:t xml:space="preserve"> the contribution towards</w:t>
            </w:r>
            <w:r w:rsidRPr="00BA440A">
              <w:t xml:space="preserve"> achievement of, and should align with, the initiatives</w:t>
            </w:r>
            <w:r w:rsidR="008013CD">
              <w:t>’</w:t>
            </w:r>
            <w:r w:rsidRPr="00BA440A">
              <w:t xml:space="preserve"> proposed objectives. </w:t>
            </w:r>
          </w:p>
          <w:p w:rsidR="00460D96" w:rsidRPr="00BA440A" w:rsidRDefault="00460D96" w:rsidP="002A37AC">
            <w:pPr>
              <w:pStyle w:val="Tablebullet"/>
              <w:ind w:left="289" w:hanging="289"/>
            </w:pPr>
            <w:r w:rsidRPr="00BA440A">
              <w:rPr>
                <w:b/>
              </w:rPr>
              <w:t>Robust data and evidence based</w:t>
            </w:r>
            <w:r w:rsidR="004006B0">
              <w:rPr>
                <w:b/>
              </w:rPr>
              <w:t>:</w:t>
            </w:r>
            <w:r w:rsidRPr="00BA440A">
              <w:t xml:space="preserve"> costing should be supported by appropriate evidence and assumptions. This could include but is not limited to: </w:t>
            </w:r>
          </w:p>
          <w:p w:rsidR="00460D96" w:rsidRPr="00BA440A" w:rsidRDefault="00460D96" w:rsidP="00EF138D">
            <w:pPr>
              <w:pStyle w:val="Tabledash"/>
            </w:pPr>
            <w:r w:rsidRPr="00BA440A">
              <w:t xml:space="preserve">reference to </w:t>
            </w:r>
            <w:r w:rsidRPr="00BA440A">
              <w:rPr>
                <w:b/>
              </w:rPr>
              <w:t xml:space="preserve">source data, rates used </w:t>
            </w:r>
            <w:r w:rsidRPr="00BA440A">
              <w:t>and why they have been chosen</w:t>
            </w:r>
            <w:r w:rsidRPr="00BA440A">
              <w:rPr>
                <w:b/>
              </w:rPr>
              <w:t>;</w:t>
            </w:r>
          </w:p>
          <w:p w:rsidR="00460D96" w:rsidRPr="00BA440A" w:rsidRDefault="00460D96" w:rsidP="00EF138D">
            <w:pPr>
              <w:pStyle w:val="Tabledash"/>
            </w:pPr>
            <w:r w:rsidRPr="00BA440A">
              <w:t xml:space="preserve">if costs are </w:t>
            </w:r>
            <w:r w:rsidRPr="00BA440A">
              <w:rPr>
                <w:b/>
              </w:rPr>
              <w:t xml:space="preserve">based </w:t>
            </w:r>
            <w:r w:rsidR="008013CD">
              <w:rPr>
                <w:b/>
              </w:rPr>
              <w:t xml:space="preserve">on </w:t>
            </w:r>
            <w:r w:rsidRPr="00BA440A">
              <w:rPr>
                <w:b/>
              </w:rPr>
              <w:t>historical activity</w:t>
            </w:r>
            <w:r w:rsidRPr="00BA440A">
              <w:t xml:space="preserve"> or experience, supporting information should detail assumptions </w:t>
            </w:r>
            <w:r w:rsidR="008013CD">
              <w:t xml:space="preserve">and </w:t>
            </w:r>
            <w:r w:rsidRPr="00BA440A">
              <w:t xml:space="preserve">why a similar methodology is still applicable. </w:t>
            </w:r>
          </w:p>
          <w:p w:rsidR="00460D96" w:rsidRPr="00BA440A" w:rsidRDefault="0020394D" w:rsidP="00EF138D">
            <w:pPr>
              <w:pStyle w:val="Tablebullet"/>
            </w:pPr>
            <w:r>
              <w:rPr>
                <w:b/>
              </w:rPr>
              <w:t>M</w:t>
            </w:r>
            <w:r w:rsidR="00460D96" w:rsidRPr="00BA440A">
              <w:rPr>
                <w:b/>
              </w:rPr>
              <w:t>arginal costs only</w:t>
            </w:r>
            <w:r w:rsidR="004006B0">
              <w:t>:</w:t>
            </w:r>
            <w:r w:rsidR="00460D96" w:rsidRPr="00BA440A">
              <w:t xml:space="preserve"> supporting information should demonstrate that the requested funding represents the marginal costs of the activity only (i.e. </w:t>
            </w:r>
            <w:r w:rsidR="002369FA">
              <w:t>incorporates</w:t>
            </w:r>
            <w:r w:rsidR="00460D96" w:rsidRPr="00BA440A">
              <w:t xml:space="preserve"> existing funding and efficiencies provided from established departmental structures and processes). </w:t>
            </w:r>
          </w:p>
          <w:p w:rsidR="00460D96" w:rsidRPr="00BA440A" w:rsidRDefault="00460D96" w:rsidP="00EF138D">
            <w:pPr>
              <w:pStyle w:val="Tablebullet"/>
            </w:pPr>
            <w:r w:rsidRPr="00BA440A">
              <w:rPr>
                <w:b/>
              </w:rPr>
              <w:t>In the absence of robust data and standardised methodologies</w:t>
            </w:r>
            <w:r w:rsidR="004006B0">
              <w:rPr>
                <w:b/>
              </w:rPr>
              <w:t>:</w:t>
            </w:r>
            <w:r w:rsidR="004006B0" w:rsidRPr="00BA440A">
              <w:rPr>
                <w:b/>
              </w:rPr>
              <w:t xml:space="preserve"> </w:t>
            </w:r>
            <w:r w:rsidRPr="00BA440A">
              <w:t>assumptions used to calculate costs should be canvassed, sufficiently justified and agreed with DTF</w:t>
            </w:r>
            <w:r w:rsidRPr="00BA440A">
              <w:rPr>
                <w:b/>
              </w:rPr>
              <w:t>.</w:t>
            </w:r>
          </w:p>
          <w:p w:rsidR="00854C34" w:rsidRDefault="00460D96" w:rsidP="00854C34">
            <w:pPr>
              <w:pStyle w:val="Tablebullet"/>
            </w:pPr>
            <w:r w:rsidRPr="00BA440A">
              <w:rPr>
                <w:b/>
              </w:rPr>
              <w:t>Demand bids</w:t>
            </w:r>
            <w:r w:rsidR="002E6BBB">
              <w:rPr>
                <w:b/>
              </w:rPr>
              <w:t xml:space="preserve">: </w:t>
            </w:r>
            <w:r w:rsidR="002E6BBB" w:rsidRPr="000D6069">
              <w:t>these</w:t>
            </w:r>
            <w:r w:rsidRPr="00BA440A">
              <w:t xml:space="preserve"> should outline the key drivers of the expected growth in a service or program</w:t>
            </w:r>
            <w:r w:rsidR="00854C34">
              <w:t xml:space="preserve"> and should be supported by: </w:t>
            </w:r>
          </w:p>
          <w:p w:rsidR="00854C34" w:rsidRDefault="00854C34" w:rsidP="00854C34">
            <w:pPr>
              <w:pStyle w:val="Tabledash"/>
            </w:pPr>
            <w:r>
              <w:t xml:space="preserve">evidence / data of </w:t>
            </w:r>
            <w:r w:rsidRPr="00BA440A">
              <w:t>current utilisation</w:t>
            </w:r>
            <w:r>
              <w:t xml:space="preserve">; </w:t>
            </w:r>
            <w:r w:rsidR="00460D96" w:rsidRPr="00BA440A">
              <w:t>and</w:t>
            </w:r>
          </w:p>
          <w:p w:rsidR="00460D96" w:rsidRPr="00BA440A" w:rsidRDefault="00854C34" w:rsidP="00854C34">
            <w:pPr>
              <w:pStyle w:val="Tabledash"/>
            </w:pPr>
            <w:r>
              <w:t xml:space="preserve">assumption underlying anticipated growth. </w:t>
            </w:r>
          </w:p>
        </w:tc>
      </w:tr>
    </w:tbl>
    <w:p w:rsidR="0028369F" w:rsidRDefault="0028369F">
      <w:pPr>
        <w:spacing w:after="200"/>
        <w:rPr>
          <w:rFonts w:asciiTheme="majorHAnsi" w:eastAsiaTheme="majorEastAsia" w:hAnsiTheme="majorHAnsi" w:cstheme="majorBidi"/>
          <w:b/>
          <w:bCs/>
          <w:color w:val="0063A6" w:themeColor="accent1"/>
          <w:sz w:val="22"/>
          <w:szCs w:val="22"/>
          <w:highlight w:val="yellow"/>
        </w:rPr>
      </w:pPr>
      <w:r>
        <w:rPr>
          <w:highlight w:val="yellow"/>
        </w:rPr>
        <w:br w:type="page"/>
      </w:r>
    </w:p>
    <w:p w:rsidR="00F704B1" w:rsidRPr="00242EB0" w:rsidRDefault="00E42562" w:rsidP="002A37AC">
      <w:pPr>
        <w:pStyle w:val="Heading1numbered"/>
        <w:tabs>
          <w:tab w:val="clear" w:pos="792"/>
        </w:tabs>
        <w:ind w:left="567" w:hanging="567"/>
        <w:rPr>
          <w:lang w:eastAsia="en-US"/>
        </w:rPr>
      </w:pPr>
      <w:bookmarkStart w:id="22" w:name="_Toc467597527"/>
      <w:bookmarkStart w:id="23" w:name="_Toc467771265"/>
      <w:bookmarkStart w:id="24" w:name="_Toc492466345"/>
      <w:r w:rsidRPr="00242EB0">
        <w:rPr>
          <w:lang w:eastAsia="en-US"/>
        </w:rPr>
        <w:lastRenderedPageBreak/>
        <w:t xml:space="preserve">Lapsing </w:t>
      </w:r>
      <w:r w:rsidR="00267F8F">
        <w:rPr>
          <w:lang w:eastAsia="en-US"/>
        </w:rPr>
        <w:t>p</w:t>
      </w:r>
      <w:r w:rsidRPr="00242EB0">
        <w:rPr>
          <w:lang w:eastAsia="en-US"/>
        </w:rPr>
        <w:t xml:space="preserve">rogram </w:t>
      </w:r>
      <w:r w:rsidR="00267F8F">
        <w:rPr>
          <w:lang w:eastAsia="en-US"/>
        </w:rPr>
        <w:t>e</w:t>
      </w:r>
      <w:r w:rsidRPr="00242EB0">
        <w:rPr>
          <w:lang w:eastAsia="en-US"/>
        </w:rPr>
        <w:t>valuations</w:t>
      </w:r>
      <w:bookmarkEnd w:id="22"/>
      <w:bookmarkEnd w:id="23"/>
      <w:bookmarkEnd w:id="24"/>
    </w:p>
    <w:p w:rsidR="00854C34" w:rsidRPr="00854C34" w:rsidRDefault="00854C34" w:rsidP="00141DC3">
      <w:pPr>
        <w:pStyle w:val="NormalIndent"/>
        <w:ind w:left="0"/>
        <w:rPr>
          <w:b/>
        </w:rPr>
      </w:pPr>
      <w:r w:rsidRPr="00EF138D">
        <w:rPr>
          <w:b/>
        </w:rPr>
        <w:t>Departments should refer to section 6.1 and Attachment 9 of the Performance Management Framework for guidance on the standards for evaluating lapsing programs.</w:t>
      </w:r>
    </w:p>
    <w:p w:rsidR="00A04984" w:rsidRDefault="00A04984" w:rsidP="00A04984">
      <w:pPr>
        <w:pStyle w:val="NormalIndent"/>
        <w:ind w:left="0"/>
      </w:pPr>
      <w:r w:rsidRPr="00A730BA">
        <w:t>These documents are available on the DTF we</w:t>
      </w:r>
      <w:r>
        <w:t>bsite at the following address:</w:t>
      </w:r>
    </w:p>
    <w:p w:rsidR="00A04984" w:rsidRPr="00982B37" w:rsidRDefault="00394FD2" w:rsidP="00A04984">
      <w:pPr>
        <w:pStyle w:val="NormalIndent"/>
        <w:ind w:left="0"/>
        <w:rPr>
          <w:rStyle w:val="Hyperlink"/>
          <w:rFonts w:ascii="Arial" w:hAnsi="Arial" w:cs="Arial"/>
          <w:color w:val="383834" w:themeColor="background2" w:themeShade="40"/>
        </w:rPr>
      </w:pPr>
      <w:hyperlink r:id="rId10" w:history="1">
        <w:r w:rsidR="00A04984" w:rsidRPr="00982B37">
          <w:rPr>
            <w:rStyle w:val="Hyperlink"/>
            <w:rFonts w:ascii="Arial" w:hAnsi="Arial" w:cs="Arial"/>
            <w:color w:val="383834" w:themeColor="background2" w:themeShade="40"/>
          </w:rPr>
          <w:t>http://www.dtf.vic.gov.au/Publications/Government-Financial-Management-publications/Planning-Budgeting-and-Financial-Reporting-Frameworks-publications</w:t>
        </w:r>
      </w:hyperlink>
    </w:p>
    <w:p w:rsidR="00BC3EC2" w:rsidRPr="00A730BA" w:rsidRDefault="00BC3EC2" w:rsidP="00141DC3">
      <w:pPr>
        <w:pStyle w:val="NormalIndent"/>
        <w:ind w:left="0"/>
      </w:pPr>
      <w:r w:rsidRPr="00A730BA">
        <w:t>For all lapsing programs seeking further funding, evaluations must be undertaken in a manner</w:t>
      </w:r>
      <w:r w:rsidR="00982B37">
        <w:t> </w:t>
      </w:r>
      <w:r w:rsidRPr="00A730BA">
        <w:t xml:space="preserve">consistent with the principles laid out under </w:t>
      </w:r>
      <w:r w:rsidRPr="006553BF">
        <w:rPr>
          <w:b/>
        </w:rPr>
        <w:t>section 6.1 of the Performance Management Framework</w:t>
      </w:r>
      <w:r w:rsidR="0030228C">
        <w:t>.</w:t>
      </w:r>
    </w:p>
    <w:p w:rsidR="00BC3EC2" w:rsidRPr="00A730BA" w:rsidRDefault="00BC3EC2" w:rsidP="00141DC3">
      <w:pPr>
        <w:pStyle w:val="NormalIndent"/>
        <w:ind w:left="0"/>
      </w:pPr>
      <w:r w:rsidRPr="00A730BA">
        <w:t>Evaluations should be rigorous but cost-effective. The potential costs and benefits of evaluation approaches and designs, including the decision to use an internal or external evaluator, should be considered, with cost, time, resources and skill availability all key concerns. In addition, the evaluation approach should reflect the size of the program, along with its scope, complexity, importance and the risks associated with the program.</w:t>
      </w:r>
    </w:p>
    <w:p w:rsidR="00BC3EC2" w:rsidRPr="00A730BA" w:rsidRDefault="00BC3EC2" w:rsidP="00141DC3">
      <w:pPr>
        <w:pStyle w:val="NormalIndent"/>
        <w:ind w:left="0"/>
      </w:pPr>
      <w:r w:rsidRPr="00A730BA">
        <w:t xml:space="preserve">For programs </w:t>
      </w:r>
      <w:r w:rsidR="00E44090">
        <w:t xml:space="preserve">with total program funding </w:t>
      </w:r>
      <w:r w:rsidRPr="00A730BA">
        <w:t xml:space="preserve">over $5 million, the scope and terms of reference for evaluations must be endorsed by DTF and DPC prior to the commencement of the evaluation. Departments must consult with their respective relationship managers at DTF </w:t>
      </w:r>
      <w:r w:rsidR="00A730BA">
        <w:t>and</w:t>
      </w:r>
      <w:r w:rsidR="00A730BA" w:rsidRPr="00A730BA">
        <w:t xml:space="preserve"> </w:t>
      </w:r>
      <w:r w:rsidRPr="00A730BA">
        <w:t xml:space="preserve">DPC regarding the scope and terms of reference for evaluations. </w:t>
      </w:r>
      <w:r w:rsidR="00E44090">
        <w:t>Fo</w:t>
      </w:r>
      <w:r w:rsidR="00A730BA">
        <w:t xml:space="preserve">r programs </w:t>
      </w:r>
      <w:r w:rsidR="00E44090">
        <w:t xml:space="preserve">with total program funding less than $5 million, evaluations are expected to clearly answer questions and meet the </w:t>
      </w:r>
      <w:r w:rsidR="00854C34">
        <w:t>minimum</w:t>
      </w:r>
      <w:r w:rsidR="00E44090">
        <w:t xml:space="preserve"> standards set out in </w:t>
      </w:r>
      <w:r w:rsidR="00E44090" w:rsidRPr="00D85F91">
        <w:rPr>
          <w:b/>
        </w:rPr>
        <w:t>Attachment 9</w:t>
      </w:r>
      <w:r w:rsidR="00E44090">
        <w:t xml:space="preserve"> of the Perf</w:t>
      </w:r>
      <w:r w:rsidR="0069176E">
        <w:t>ormance Management Framework.</w:t>
      </w:r>
    </w:p>
    <w:p w:rsidR="0037491E" w:rsidRPr="000D6069" w:rsidRDefault="0037491E" w:rsidP="002A37AC">
      <w:pPr>
        <w:pStyle w:val="Heading1numbered"/>
        <w:tabs>
          <w:tab w:val="clear" w:pos="792"/>
        </w:tabs>
        <w:ind w:left="567" w:hanging="567"/>
        <w:rPr>
          <w:lang w:eastAsia="en-US"/>
        </w:rPr>
      </w:pPr>
      <w:bookmarkStart w:id="25" w:name="_Toc467597526"/>
      <w:bookmarkStart w:id="26" w:name="_Toc467771266"/>
      <w:bookmarkStart w:id="27" w:name="_Toc492466346"/>
      <w:r w:rsidRPr="000D6069">
        <w:rPr>
          <w:lang w:eastAsia="en-US"/>
        </w:rPr>
        <w:t>Performance measures</w:t>
      </w:r>
      <w:bookmarkEnd w:id="25"/>
      <w:bookmarkEnd w:id="26"/>
      <w:bookmarkEnd w:id="27"/>
    </w:p>
    <w:p w:rsidR="00854C34" w:rsidRDefault="00854C34" w:rsidP="00141DC3">
      <w:pPr>
        <w:pStyle w:val="NormalIndent"/>
        <w:ind w:left="0"/>
      </w:pPr>
      <w:r w:rsidRPr="00854C34">
        <w:rPr>
          <w:b/>
        </w:rPr>
        <w:t>When develo</w:t>
      </w:r>
      <w:r w:rsidR="00362ECB">
        <w:rPr>
          <w:b/>
        </w:rPr>
        <w:t>ping new, or amending existing</w:t>
      </w:r>
      <w:r w:rsidRPr="00854C34">
        <w:rPr>
          <w:b/>
        </w:rPr>
        <w:t xml:space="preserve"> performance measures, departments should refer to section 3 and Attachment</w:t>
      </w:r>
      <w:r w:rsidR="00DD770E">
        <w:rPr>
          <w:b/>
        </w:rPr>
        <w:t>s</w:t>
      </w:r>
      <w:r w:rsidRPr="00854C34">
        <w:rPr>
          <w:b/>
        </w:rPr>
        <w:t xml:space="preserve"> 4</w:t>
      </w:r>
      <w:r w:rsidR="00DD770E">
        <w:rPr>
          <w:b/>
        </w:rPr>
        <w:t>, 5 and 6</w:t>
      </w:r>
      <w:r w:rsidRPr="00854C34">
        <w:rPr>
          <w:b/>
        </w:rPr>
        <w:t xml:space="preserve"> of the </w:t>
      </w:r>
      <w:r w:rsidR="0041090F">
        <w:rPr>
          <w:b/>
        </w:rPr>
        <w:t>PMF</w:t>
      </w:r>
      <w:r w:rsidRPr="00854C34">
        <w:rPr>
          <w:b/>
        </w:rPr>
        <w:t>.</w:t>
      </w:r>
    </w:p>
    <w:p w:rsidR="0020394D" w:rsidRPr="006553BF" w:rsidRDefault="00854C34" w:rsidP="00141DC3">
      <w:pPr>
        <w:pStyle w:val="NormalIndent"/>
        <w:ind w:left="0"/>
      </w:pPr>
      <w:r>
        <w:t>High</w:t>
      </w:r>
      <w:r w:rsidR="0020394D" w:rsidRPr="006553BF">
        <w:t xml:space="preserve"> quali</w:t>
      </w:r>
      <w:r w:rsidR="008A1358">
        <w:t>ty output performance measures:</w:t>
      </w:r>
    </w:p>
    <w:p w:rsidR="0020394D" w:rsidRPr="00141DC3" w:rsidRDefault="00854C34" w:rsidP="00141DC3">
      <w:pPr>
        <w:pStyle w:val="Bullet1"/>
        <w:rPr>
          <w:lang w:eastAsia="en-US"/>
        </w:rPr>
      </w:pPr>
      <w:r w:rsidRPr="00141DC3">
        <w:rPr>
          <w:lang w:eastAsia="en-US"/>
        </w:rPr>
        <w:t>assist</w:t>
      </w:r>
      <w:r w:rsidR="0020394D" w:rsidRPr="00141DC3">
        <w:rPr>
          <w:lang w:eastAsia="en-US"/>
        </w:rPr>
        <w:t xml:space="preserve"> </w:t>
      </w:r>
      <w:r w:rsidR="0020394D" w:rsidRPr="002A37AC">
        <w:rPr>
          <w:lang w:eastAsia="en-US"/>
        </w:rPr>
        <w:t>government</w:t>
      </w:r>
      <w:r w:rsidR="0020394D" w:rsidRPr="00141DC3">
        <w:rPr>
          <w:lang w:eastAsia="en-US"/>
        </w:rPr>
        <w:t xml:space="preserve"> </w:t>
      </w:r>
      <w:r w:rsidR="00BC63F1">
        <w:rPr>
          <w:lang w:eastAsia="en-US"/>
        </w:rPr>
        <w:t xml:space="preserve">to </w:t>
      </w:r>
      <w:r w:rsidR="0020394D" w:rsidRPr="00141DC3">
        <w:rPr>
          <w:lang w:eastAsia="en-US"/>
        </w:rPr>
        <w:t xml:space="preserve">make informed </w:t>
      </w:r>
      <w:r w:rsidR="00BE59AB" w:rsidRPr="00141DC3">
        <w:rPr>
          <w:lang w:eastAsia="en-US"/>
        </w:rPr>
        <w:t xml:space="preserve">resource allocation </w:t>
      </w:r>
      <w:r w:rsidR="0020394D" w:rsidRPr="00141DC3">
        <w:rPr>
          <w:lang w:eastAsia="en-US"/>
        </w:rPr>
        <w:t>decisions</w:t>
      </w:r>
      <w:r w:rsidR="008A1358" w:rsidRPr="00141DC3">
        <w:rPr>
          <w:lang w:eastAsia="en-US"/>
        </w:rPr>
        <w:t>;</w:t>
      </w:r>
    </w:p>
    <w:p w:rsidR="0020394D" w:rsidRDefault="0020394D" w:rsidP="00141DC3">
      <w:pPr>
        <w:pStyle w:val="Bullet1"/>
        <w:rPr>
          <w:lang w:eastAsia="en-US"/>
        </w:rPr>
      </w:pPr>
      <w:r>
        <w:rPr>
          <w:lang w:eastAsia="en-US"/>
        </w:rPr>
        <w:t>al</w:t>
      </w:r>
      <w:r w:rsidRPr="006553BF">
        <w:rPr>
          <w:lang w:eastAsia="en-US"/>
        </w:rPr>
        <w:t xml:space="preserve">low </w:t>
      </w:r>
      <w:r w:rsidRPr="0020394D">
        <w:rPr>
          <w:lang w:eastAsia="en-US"/>
        </w:rPr>
        <w:t>departments</w:t>
      </w:r>
      <w:r w:rsidRPr="006553BF">
        <w:rPr>
          <w:lang w:eastAsia="en-US"/>
        </w:rPr>
        <w:t xml:space="preserve"> to develop </w:t>
      </w:r>
      <w:r w:rsidR="00854C34">
        <w:rPr>
          <w:lang w:eastAsia="en-US"/>
        </w:rPr>
        <w:t>and assess standards of service</w:t>
      </w:r>
      <w:r w:rsidRPr="006553BF">
        <w:rPr>
          <w:lang w:eastAsia="en-US"/>
        </w:rPr>
        <w:t xml:space="preserve"> delivery </w:t>
      </w:r>
      <w:r>
        <w:rPr>
          <w:lang w:eastAsia="en-US"/>
        </w:rPr>
        <w:t>in lin</w:t>
      </w:r>
      <w:r w:rsidR="008A1358">
        <w:rPr>
          <w:lang w:eastAsia="en-US"/>
        </w:rPr>
        <w:t>e with government expectations;</w:t>
      </w:r>
    </w:p>
    <w:p w:rsidR="005A040B" w:rsidRPr="006553BF" w:rsidRDefault="00854C34">
      <w:pPr>
        <w:pStyle w:val="Bullet1"/>
      </w:pPr>
      <w:r>
        <w:rPr>
          <w:lang w:eastAsia="en-US"/>
        </w:rPr>
        <w:t xml:space="preserve">increase transparency and accountability for </w:t>
      </w:r>
      <w:r w:rsidR="00BE59AB">
        <w:rPr>
          <w:lang w:eastAsia="en-US"/>
        </w:rPr>
        <w:t xml:space="preserve">the </w:t>
      </w:r>
      <w:r>
        <w:rPr>
          <w:lang w:eastAsia="en-US"/>
        </w:rPr>
        <w:t xml:space="preserve">spending of public </w:t>
      </w:r>
      <w:r w:rsidR="00BE59AB" w:rsidRPr="0020394D">
        <w:rPr>
          <w:lang w:eastAsia="en-US"/>
        </w:rPr>
        <w:t>resources</w:t>
      </w:r>
      <w:r>
        <w:rPr>
          <w:lang w:eastAsia="en-US"/>
        </w:rPr>
        <w:t xml:space="preserve">; </w:t>
      </w:r>
      <w:r w:rsidR="006553BF">
        <w:rPr>
          <w:lang w:eastAsia="en-US"/>
        </w:rPr>
        <w:t>drive continuous improvement through ana</w:t>
      </w:r>
      <w:r w:rsidR="00BE59AB">
        <w:rPr>
          <w:lang w:eastAsia="en-US"/>
        </w:rPr>
        <w:t>l</w:t>
      </w:r>
      <w:r w:rsidR="005C5CFD">
        <w:rPr>
          <w:lang w:eastAsia="en-US"/>
        </w:rPr>
        <w:t>ysis of historical performance and negotiation</w:t>
      </w:r>
      <w:r w:rsidR="005C5CFD">
        <w:t xml:space="preserve"> of agreed targets / </w:t>
      </w:r>
      <w:r>
        <w:t xml:space="preserve">measures </w:t>
      </w:r>
      <w:r w:rsidR="006553BF">
        <w:t>from year to year</w:t>
      </w:r>
      <w:r w:rsidR="005A040B">
        <w:t xml:space="preserve">; </w:t>
      </w:r>
      <w:r w:rsidR="003051AD">
        <w:t>and should</w:t>
      </w:r>
      <w:r w:rsidR="005A040B">
        <w:t xml:space="preserve"> aim to directly demonstrate the impact of investment.</w:t>
      </w:r>
    </w:p>
    <w:p w:rsidR="00265640" w:rsidRPr="00265640" w:rsidRDefault="0020394D" w:rsidP="00141DC3">
      <w:pPr>
        <w:pStyle w:val="Heading2"/>
        <w:ind w:left="0"/>
      </w:pPr>
      <w:bookmarkStart w:id="28" w:name="_Toc467771267"/>
      <w:bookmarkStart w:id="29" w:name="_Toc492466347"/>
      <w:r>
        <w:t>Performance measure example</w:t>
      </w:r>
      <w:bookmarkEnd w:id="28"/>
      <w:r w:rsidR="00A04984">
        <w:t>s</w:t>
      </w:r>
      <w:bookmarkEnd w:id="29"/>
    </w:p>
    <w:p w:rsidR="0037491E" w:rsidRPr="00242EB0" w:rsidRDefault="0037491E" w:rsidP="00141DC3">
      <w:pPr>
        <w:pStyle w:val="NormalIndent"/>
        <w:ind w:left="0"/>
      </w:pPr>
      <w:r w:rsidRPr="00242EB0">
        <w:t>In this example</w:t>
      </w:r>
      <w:r w:rsidR="00046120">
        <w:t>,</w:t>
      </w:r>
      <w:r w:rsidRPr="00242EB0">
        <w:t xml:space="preserve"> funding is sought to increase the number of XXX supported from 5 200 (the </w:t>
      </w:r>
      <w:r w:rsidR="00563CEE">
        <w:t xml:space="preserve">    </w:t>
      </w:r>
      <w:r w:rsidRPr="00242EB0">
        <w:t>201</w:t>
      </w:r>
      <w:r w:rsidR="00563CEE">
        <w:t>7</w:t>
      </w:r>
      <w:r w:rsidR="00840DB7">
        <w:t>-1</w:t>
      </w:r>
      <w:r w:rsidR="00563CEE">
        <w:t>8</w:t>
      </w:r>
      <w:r w:rsidRPr="00242EB0">
        <w:t xml:space="preserve"> no-policy change target) to 6 000. This increase is proposed to be phased-in over three years. The target for the quantity measure, </w:t>
      </w:r>
      <w:r w:rsidRPr="00EF138D">
        <w:rPr>
          <w:i/>
          <w:color w:val="0063A6" w:themeColor="accent1"/>
        </w:rPr>
        <w:t>Number of XXX supported</w:t>
      </w:r>
      <w:r w:rsidRPr="00242EB0">
        <w:rPr>
          <w:i/>
        </w:rPr>
        <w:t>,</w:t>
      </w:r>
      <w:r w:rsidRPr="00242EB0">
        <w:t xml:space="preserve"> will increase by 200 in </w:t>
      </w:r>
      <w:r w:rsidR="00056E4B">
        <w:t>201</w:t>
      </w:r>
      <w:r w:rsidR="00563CEE">
        <w:t>8</w:t>
      </w:r>
      <w:r w:rsidR="00684C92">
        <w:noBreakHyphen/>
      </w:r>
      <w:r w:rsidR="00056E4B">
        <w:t>1</w:t>
      </w:r>
      <w:r w:rsidR="00563CEE">
        <w:t>9</w:t>
      </w:r>
      <w:r w:rsidR="00840DB7">
        <w:t xml:space="preserve">, 500 in </w:t>
      </w:r>
      <w:r w:rsidR="00056E4B">
        <w:t>201</w:t>
      </w:r>
      <w:r w:rsidR="00563CEE">
        <w:t>9</w:t>
      </w:r>
      <w:r w:rsidR="00056E4B">
        <w:t>-</w:t>
      </w:r>
      <w:r w:rsidR="00563CEE">
        <w:t>20</w:t>
      </w:r>
      <w:r w:rsidRPr="00242EB0">
        <w:t>, then by the full 800 increase for 20</w:t>
      </w:r>
      <w:r w:rsidR="00563CEE">
        <w:t>20</w:t>
      </w:r>
      <w:r w:rsidR="00840DB7">
        <w:t>-</w:t>
      </w:r>
      <w:r w:rsidR="00563CEE">
        <w:t>21</w:t>
      </w:r>
      <w:r w:rsidRPr="00242EB0">
        <w:t xml:space="preserve"> and later years reaching the 6000 target.</w:t>
      </w:r>
    </w:p>
    <w:p w:rsidR="0037491E" w:rsidRPr="00242EB0" w:rsidRDefault="0037491E" w:rsidP="00141DC3">
      <w:pPr>
        <w:pStyle w:val="NormalIndent"/>
        <w:ind w:left="0"/>
      </w:pPr>
      <w:r w:rsidRPr="00242EB0">
        <w:t xml:space="preserve">One of the aims of this initiative is to increase participant satisfaction with the services provided. The target for the quality measure, </w:t>
      </w:r>
      <w:r w:rsidRPr="00EF138D">
        <w:rPr>
          <w:i/>
          <w:color w:val="0063A6" w:themeColor="accent1"/>
        </w:rPr>
        <w:t>Participant satisfaction</w:t>
      </w:r>
      <w:r w:rsidRPr="00242EB0">
        <w:rPr>
          <w:i/>
        </w:rPr>
        <w:t>,</w:t>
      </w:r>
      <w:r w:rsidRPr="00242EB0">
        <w:t xml:space="preserve"> will gradually increase from 80 per cent (the 201</w:t>
      </w:r>
      <w:r w:rsidR="00056E4B">
        <w:t>7</w:t>
      </w:r>
      <w:r w:rsidR="00840DB7">
        <w:t>-1</w:t>
      </w:r>
      <w:r w:rsidR="00056E4B">
        <w:t>8</w:t>
      </w:r>
      <w:r w:rsidRPr="00242EB0">
        <w:t xml:space="preserve"> no-policy change target) to 85 per cent by 20</w:t>
      </w:r>
      <w:r w:rsidR="00563CEE">
        <w:t>20</w:t>
      </w:r>
      <w:r w:rsidR="00840DB7">
        <w:t>-</w:t>
      </w:r>
      <w:r w:rsidR="00056E4B">
        <w:t>2</w:t>
      </w:r>
      <w:r w:rsidR="00563CEE">
        <w:t>1</w:t>
      </w:r>
      <w:r w:rsidRPr="00242EB0">
        <w:t>.</w:t>
      </w:r>
    </w:p>
    <w:p w:rsidR="005A040B" w:rsidRDefault="0037491E" w:rsidP="00141DC3">
      <w:pPr>
        <w:pStyle w:val="NormalIndent"/>
        <w:ind w:left="0"/>
      </w:pPr>
      <w:r w:rsidRPr="00242EB0">
        <w:lastRenderedPageBreak/>
        <w:t xml:space="preserve">The target for the timeliness measure of 99 per cent, </w:t>
      </w:r>
      <w:r w:rsidRPr="00EF138D">
        <w:rPr>
          <w:i/>
          <w:color w:val="0063A6" w:themeColor="accent1"/>
        </w:rPr>
        <w:t>Proportion of applications</w:t>
      </w:r>
      <w:r w:rsidRPr="00EF138D">
        <w:rPr>
          <w:color w:val="0063A6" w:themeColor="accent1"/>
        </w:rPr>
        <w:t xml:space="preserve"> </w:t>
      </w:r>
      <w:r w:rsidRPr="00EF138D">
        <w:rPr>
          <w:i/>
          <w:color w:val="0063A6" w:themeColor="accent1"/>
        </w:rPr>
        <w:t>processed within 3</w:t>
      </w:r>
      <w:r w:rsidR="00265640" w:rsidRPr="00EF138D">
        <w:rPr>
          <w:i/>
          <w:color w:val="0063A6" w:themeColor="accent1"/>
        </w:rPr>
        <w:t> </w:t>
      </w:r>
      <w:r w:rsidRPr="00EF138D">
        <w:rPr>
          <w:i/>
          <w:color w:val="0063A6" w:themeColor="accent1"/>
        </w:rPr>
        <w:t>months</w:t>
      </w:r>
      <w:r w:rsidRPr="00242EB0">
        <w:rPr>
          <w:i/>
        </w:rPr>
        <w:t xml:space="preserve">, </w:t>
      </w:r>
      <w:r w:rsidRPr="00242EB0">
        <w:t xml:space="preserve">will not change due to this initiative. However, as the initiative contributes to this measure, the </w:t>
      </w:r>
      <w:r w:rsidR="00E046D1">
        <w:t xml:space="preserve">table should include the </w:t>
      </w:r>
      <w:r w:rsidRPr="00242EB0">
        <w:t>measure.</w:t>
      </w:r>
    </w:p>
    <w:tbl>
      <w:tblPr>
        <w:tblStyle w:val="DTFtexttable1"/>
        <w:tblW w:w="5279" w:type="pct"/>
        <w:tblInd w:w="-510" w:type="dxa"/>
        <w:tblLook w:val="04A0" w:firstRow="1" w:lastRow="0" w:firstColumn="1" w:lastColumn="0" w:noHBand="0" w:noVBand="1"/>
      </w:tblPr>
      <w:tblGrid>
        <w:gridCol w:w="2634"/>
        <w:gridCol w:w="1036"/>
        <w:gridCol w:w="857"/>
        <w:gridCol w:w="1013"/>
        <w:gridCol w:w="1013"/>
        <w:gridCol w:w="1013"/>
        <w:gridCol w:w="1013"/>
        <w:gridCol w:w="1027"/>
        <w:gridCol w:w="44"/>
      </w:tblGrid>
      <w:tr w:rsidR="00D95733" w:rsidRPr="00393F72" w:rsidTr="000D6069">
        <w:trPr>
          <w:gridAfter w:val="1"/>
          <w:cnfStyle w:val="100000000000" w:firstRow="1" w:lastRow="0" w:firstColumn="0" w:lastColumn="0" w:oddVBand="0" w:evenVBand="0" w:oddHBand="0" w:evenHBand="0" w:firstRowFirstColumn="0" w:firstRowLastColumn="0" w:lastRowFirstColumn="0" w:lastRowLastColumn="0"/>
          <w:wAfter w:w="24" w:type="pct"/>
        </w:trPr>
        <w:tc>
          <w:tcPr>
            <w:cnfStyle w:val="001000000100" w:firstRow="0" w:lastRow="0" w:firstColumn="1" w:lastColumn="0" w:oddVBand="0" w:evenVBand="0" w:oddHBand="0" w:evenHBand="0" w:firstRowFirstColumn="1" w:firstRowLastColumn="0" w:lastRowFirstColumn="0" w:lastRowLastColumn="0"/>
            <w:tcW w:w="1364" w:type="pct"/>
            <w:vMerge w:val="restart"/>
            <w:tcBorders>
              <w:left w:val="nil"/>
              <w:right w:val="single" w:sz="4" w:space="0" w:color="749CC9" w:themeColor="accent3"/>
            </w:tcBorders>
            <w:shd w:val="clear" w:color="auto" w:fill="00559A" w:themeFill="accent4" w:themeFillShade="BF"/>
          </w:tcPr>
          <w:p w:rsidR="00D95733" w:rsidRPr="00BF67BE" w:rsidRDefault="00D95733" w:rsidP="00D95733">
            <w:pPr>
              <w:pStyle w:val="Tabletextbold"/>
              <w:rPr>
                <w:b/>
              </w:rPr>
            </w:pPr>
            <w:r w:rsidRPr="00393F72">
              <w:t>Performance measures</w:t>
            </w:r>
          </w:p>
          <w:p w:rsidR="00D95733" w:rsidRPr="00BF67BE" w:rsidRDefault="00D95733" w:rsidP="00D95733">
            <w:pPr>
              <w:pStyle w:val="Tabletextbold"/>
              <w:rPr>
                <w:b/>
              </w:rPr>
            </w:pPr>
            <w:r w:rsidRPr="00393F72">
              <w:t>as per BP3</w:t>
            </w:r>
          </w:p>
        </w:tc>
        <w:tc>
          <w:tcPr>
            <w:tcW w:w="981" w:type="pct"/>
            <w:gridSpan w:val="2"/>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BF67BE" w:rsidRDefault="00D95733" w:rsidP="00D95733">
            <w:pPr>
              <w:pStyle w:val="Tabletextbold"/>
              <w:cnfStyle w:val="100000000000" w:firstRow="1" w:lastRow="0" w:firstColumn="0" w:lastColumn="0" w:oddVBand="0" w:evenVBand="0" w:oddHBand="0" w:evenHBand="0" w:firstRowFirstColumn="0" w:firstRowLastColumn="0" w:lastRowFirstColumn="0" w:lastRowLastColumn="0"/>
              <w:rPr>
                <w:b/>
              </w:rPr>
            </w:pPr>
          </w:p>
        </w:tc>
        <w:tc>
          <w:tcPr>
            <w:tcW w:w="525"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BF67BE" w:rsidRDefault="00D95733" w:rsidP="00D95733">
            <w:pPr>
              <w:pStyle w:val="Tabletextbold"/>
              <w:cnfStyle w:val="100000000000" w:firstRow="1" w:lastRow="0" w:firstColumn="0" w:lastColumn="0" w:oddVBand="0" w:evenVBand="0" w:oddHBand="0" w:evenHBand="0" w:firstRowFirstColumn="0" w:firstRowLastColumn="0" w:lastRowFirstColumn="0" w:lastRowLastColumn="0"/>
              <w:rPr>
                <w:b/>
              </w:rPr>
            </w:pPr>
            <w:r w:rsidRPr="00393F72">
              <w:t>Baseline</w:t>
            </w:r>
          </w:p>
        </w:tc>
        <w:tc>
          <w:tcPr>
            <w:tcW w:w="2107" w:type="pct"/>
            <w:gridSpan w:val="4"/>
            <w:tcBorders>
              <w:left w:val="single" w:sz="4" w:space="0" w:color="749CC9" w:themeColor="accent3"/>
              <w:bottom w:val="single" w:sz="4" w:space="0" w:color="749CC9" w:themeColor="accent3"/>
            </w:tcBorders>
            <w:shd w:val="clear" w:color="auto" w:fill="00559A" w:themeFill="accent4" w:themeFillShade="BF"/>
          </w:tcPr>
          <w:p w:rsidR="00D95733" w:rsidRPr="00BF67BE" w:rsidRDefault="00D95733" w:rsidP="00D95733">
            <w:pPr>
              <w:pStyle w:val="Tabletextbold"/>
              <w:cnfStyle w:val="100000000000" w:firstRow="1" w:lastRow="0" w:firstColumn="0" w:lastColumn="0" w:oddVBand="0" w:evenVBand="0" w:oddHBand="0" w:evenHBand="0" w:firstRowFirstColumn="0" w:firstRowLastColumn="0" w:lastRowFirstColumn="0" w:lastRowLastColumn="0"/>
              <w:rPr>
                <w:b/>
              </w:rPr>
            </w:pPr>
            <w:r w:rsidRPr="00393F72">
              <w:t>Change in target if proposal is endorsed</w:t>
            </w:r>
          </w:p>
        </w:tc>
      </w:tr>
      <w:tr w:rsidR="00684C92" w:rsidRPr="005715A6" w:rsidTr="00563CEE">
        <w:trPr>
          <w:gridAfter w:val="1"/>
          <w:wAfter w:w="24" w:type="pct"/>
        </w:trPr>
        <w:tc>
          <w:tcPr>
            <w:cnfStyle w:val="001000000000" w:firstRow="0" w:lastRow="0" w:firstColumn="1" w:lastColumn="0" w:oddVBand="0" w:evenVBand="0" w:oddHBand="0" w:evenHBand="0" w:firstRowFirstColumn="0" w:firstRowLastColumn="0" w:lastRowFirstColumn="0" w:lastRowLastColumn="0"/>
            <w:tcW w:w="1364" w:type="pct"/>
            <w:vMerge/>
            <w:tcBorders>
              <w:left w:val="nil"/>
              <w:bottom w:val="single" w:sz="4" w:space="0" w:color="749CC9" w:themeColor="accent3"/>
              <w:right w:val="single" w:sz="4" w:space="0" w:color="749CC9" w:themeColor="accent3"/>
            </w:tcBorders>
          </w:tcPr>
          <w:p w:rsidR="00D95733" w:rsidRPr="005715A6" w:rsidRDefault="00D95733" w:rsidP="00D95733">
            <w:pPr>
              <w:pStyle w:val="Tabletextbold"/>
            </w:pPr>
          </w:p>
        </w:tc>
        <w:tc>
          <w:tcPr>
            <w:tcW w:w="537"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BF67BE" w:rsidRDefault="00D95733">
            <w:pPr>
              <w:pStyle w:val="Tabletextbold"/>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Existing / New / </w:t>
            </w:r>
            <w:r w:rsidR="00A730BD">
              <w:rPr>
                <w:color w:val="FFFFFF" w:themeColor="background1"/>
              </w:rPr>
              <w:t>not in BP3</w:t>
            </w:r>
            <w:r w:rsidRPr="00393F72">
              <w:rPr>
                <w:color w:val="FFFFFF" w:themeColor="background1"/>
              </w:rPr>
              <w:t xml:space="preserve"> </w:t>
            </w:r>
          </w:p>
        </w:tc>
        <w:tc>
          <w:tcPr>
            <w:tcW w:w="444"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BF67BE" w:rsidRDefault="00D95733" w:rsidP="00D95733">
            <w:pPr>
              <w:pStyle w:val="Tabletextbold"/>
              <w:cnfStyle w:val="000000000000" w:firstRow="0" w:lastRow="0" w:firstColumn="0" w:lastColumn="0" w:oddVBand="0" w:evenVBand="0" w:oddHBand="0" w:evenHBand="0" w:firstRowFirstColumn="0" w:firstRowLastColumn="0" w:lastRowFirstColumn="0" w:lastRowLastColumn="0"/>
              <w:rPr>
                <w:color w:val="FFFFFF" w:themeColor="background1"/>
              </w:rPr>
            </w:pPr>
            <w:r w:rsidRPr="00221204">
              <w:rPr>
                <w:color w:val="FFFFFF" w:themeColor="background1"/>
              </w:rPr>
              <w:t>Unit of measure</w:t>
            </w:r>
          </w:p>
        </w:tc>
        <w:tc>
          <w:tcPr>
            <w:tcW w:w="525"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BF67BE" w:rsidRDefault="00D95733" w:rsidP="00D95733">
            <w:pPr>
              <w:pStyle w:val="Tabletextbold"/>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BF67BE">
              <w:rPr>
                <w:color w:val="FFFFFF" w:themeColor="background1"/>
              </w:rPr>
              <w:t>2017-18 published target</w:t>
            </w:r>
          </w:p>
        </w:tc>
        <w:tc>
          <w:tcPr>
            <w:tcW w:w="525"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D95733" w:rsidRDefault="00D95733" w:rsidP="00D95733">
            <w:pPr>
              <w:pStyle w:val="Tabletextbold"/>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0D6069">
              <w:rPr>
                <w:color w:val="FFFFFF" w:themeColor="background1"/>
                <w:szCs w:val="17"/>
              </w:rPr>
              <w:t>2018-19</w:t>
            </w:r>
          </w:p>
        </w:tc>
        <w:tc>
          <w:tcPr>
            <w:tcW w:w="525"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D95733" w:rsidRDefault="00D95733" w:rsidP="00D95733">
            <w:pPr>
              <w:pStyle w:val="Tabletextbold"/>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0D6069">
              <w:rPr>
                <w:color w:val="FFFFFF" w:themeColor="background1"/>
                <w:szCs w:val="17"/>
              </w:rPr>
              <w:t>2019-20</w:t>
            </w:r>
          </w:p>
        </w:tc>
        <w:tc>
          <w:tcPr>
            <w:tcW w:w="525" w:type="pct"/>
            <w:tcBorders>
              <w:left w:val="single" w:sz="4" w:space="0" w:color="749CC9" w:themeColor="accent3"/>
              <w:bottom w:val="single" w:sz="4" w:space="0" w:color="749CC9" w:themeColor="accent3"/>
              <w:right w:val="single" w:sz="4" w:space="0" w:color="749CC9" w:themeColor="accent3"/>
            </w:tcBorders>
            <w:shd w:val="clear" w:color="auto" w:fill="00559A" w:themeFill="accent4" w:themeFillShade="BF"/>
          </w:tcPr>
          <w:p w:rsidR="00D95733" w:rsidRPr="00D95733" w:rsidRDefault="00D95733" w:rsidP="00D95733">
            <w:pPr>
              <w:pStyle w:val="Tabletextbold"/>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0D6069">
              <w:rPr>
                <w:color w:val="FFFFFF" w:themeColor="background1"/>
                <w:szCs w:val="17"/>
              </w:rPr>
              <w:t>2020-21</w:t>
            </w:r>
          </w:p>
        </w:tc>
        <w:tc>
          <w:tcPr>
            <w:tcW w:w="532" w:type="pct"/>
            <w:tcBorders>
              <w:left w:val="single" w:sz="4" w:space="0" w:color="749CC9" w:themeColor="accent3"/>
              <w:bottom w:val="single" w:sz="4" w:space="0" w:color="749CC9" w:themeColor="accent3"/>
            </w:tcBorders>
            <w:shd w:val="clear" w:color="auto" w:fill="00559A" w:themeFill="accent4" w:themeFillShade="BF"/>
          </w:tcPr>
          <w:p w:rsidR="00D95733" w:rsidRPr="00D95733" w:rsidRDefault="00D95733" w:rsidP="00D95733">
            <w:pPr>
              <w:pStyle w:val="Tabletextbold"/>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0D6069">
              <w:rPr>
                <w:color w:val="FFFFFF" w:themeColor="background1"/>
                <w:szCs w:val="17"/>
              </w:rPr>
              <w:t>2021-22</w:t>
            </w:r>
          </w:p>
        </w:tc>
      </w:tr>
      <w:tr w:rsidR="00D95733" w:rsidTr="000D606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749CC9" w:themeColor="accent3"/>
              <w:left w:val="nil"/>
              <w:bottom w:val="single" w:sz="4" w:space="0" w:color="749CC9" w:themeColor="accent3"/>
            </w:tcBorders>
          </w:tcPr>
          <w:p w:rsidR="00D95733" w:rsidRPr="0035658E" w:rsidRDefault="00D95733" w:rsidP="00D95733">
            <w:pPr>
              <w:pStyle w:val="Tabletext"/>
              <w:rPr>
                <w:b/>
              </w:rPr>
            </w:pPr>
            <w:r w:rsidRPr="0035658E">
              <w:rPr>
                <w:b/>
              </w:rPr>
              <w:t>Output</w:t>
            </w:r>
            <w:r>
              <w:rPr>
                <w:b/>
              </w:rPr>
              <w:t>:</w:t>
            </w:r>
            <w:r w:rsidRPr="0035658E">
              <w:rPr>
                <w:b/>
              </w:rPr>
              <w:t xml:space="preserve"> </w:t>
            </w:r>
            <w:r>
              <w:rPr>
                <w:b/>
              </w:rPr>
              <w:t>[Insert output name]</w:t>
            </w:r>
          </w:p>
        </w:tc>
      </w:tr>
      <w:tr w:rsidR="00684C92" w:rsidTr="00563CEE">
        <w:trPr>
          <w:gridAfter w:val="1"/>
          <w:wAfter w:w="24" w:type="pct"/>
        </w:trPr>
        <w:tc>
          <w:tcPr>
            <w:cnfStyle w:val="001000000000" w:firstRow="0" w:lastRow="0" w:firstColumn="1" w:lastColumn="0" w:oddVBand="0" w:evenVBand="0" w:oddHBand="0" w:evenHBand="0" w:firstRowFirstColumn="0" w:firstRowLastColumn="0" w:lastRowFirstColumn="0" w:lastRowLastColumn="0"/>
            <w:tcW w:w="1364" w:type="pct"/>
            <w:tcBorders>
              <w:top w:val="single" w:sz="4" w:space="0" w:color="749CC9" w:themeColor="accent3"/>
              <w:left w:val="nil"/>
              <w:bottom w:val="single" w:sz="4" w:space="0" w:color="749CC9" w:themeColor="accent3"/>
              <w:right w:val="single" w:sz="4" w:space="0" w:color="749CC9" w:themeColor="accent3"/>
            </w:tcBorders>
          </w:tcPr>
          <w:p w:rsidR="00A730BD" w:rsidRDefault="00A730BD" w:rsidP="00684C92">
            <w:pPr>
              <w:pStyle w:val="Tabletext"/>
            </w:pPr>
            <w:r w:rsidRPr="00242EB0">
              <w:t>Number of XXX supported</w:t>
            </w:r>
          </w:p>
        </w:tc>
        <w:tc>
          <w:tcPr>
            <w:tcW w:w="537"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tcPr>
          <w:p w:rsidR="00A730BD" w:rsidRPr="0091147B" w:rsidRDefault="00A730BD" w:rsidP="00684C92">
            <w:pPr>
              <w:pStyle w:val="Tabletext"/>
              <w:cnfStyle w:val="000000000000" w:firstRow="0" w:lastRow="0" w:firstColumn="0" w:lastColumn="0" w:oddVBand="0" w:evenVBand="0" w:oddHBand="0" w:evenHBand="0" w:firstRowFirstColumn="0" w:firstRowLastColumn="0" w:lastRowFirstColumn="0" w:lastRowLastColumn="0"/>
            </w:pPr>
            <w:r>
              <w:t>Existing</w:t>
            </w:r>
          </w:p>
        </w:tc>
        <w:tc>
          <w:tcPr>
            <w:tcW w:w="444"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tcPr>
          <w:p w:rsidR="00A730BD" w:rsidRPr="0091147B" w:rsidRDefault="00A730BD" w:rsidP="00684C92">
            <w:pPr>
              <w:pStyle w:val="Tabletext"/>
              <w:cnfStyle w:val="000000000000" w:firstRow="0" w:lastRow="0" w:firstColumn="0" w:lastColumn="0" w:oddVBand="0" w:evenVBand="0" w:oddHBand="0" w:evenHBand="0" w:firstRowFirstColumn="0" w:firstRowLastColumn="0" w:lastRowFirstColumn="0" w:lastRowLastColumn="0"/>
            </w:pPr>
            <w:r>
              <w:t>Number</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A730BD" w:rsidRPr="0091147B" w:rsidRDefault="00563CEE" w:rsidP="00684C92">
            <w:pPr>
              <w:pStyle w:val="Tabletext"/>
              <w:cnfStyle w:val="000000000000" w:firstRow="0" w:lastRow="0" w:firstColumn="0" w:lastColumn="0" w:oddVBand="0" w:evenVBand="0" w:oddHBand="0" w:evenHBand="0" w:firstRowFirstColumn="0" w:firstRowLastColumn="0" w:lastRowFirstColumn="0" w:lastRowLastColumn="0"/>
            </w:pPr>
            <w:r>
              <w:t>5200</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A730BD" w:rsidRPr="0091147B" w:rsidRDefault="00563CEE" w:rsidP="00684C92">
            <w:pPr>
              <w:pStyle w:val="Tabletext"/>
              <w:cnfStyle w:val="000000000000" w:firstRow="0" w:lastRow="0" w:firstColumn="0" w:lastColumn="0" w:oddVBand="0" w:evenVBand="0" w:oddHBand="0" w:evenHBand="0" w:firstRowFirstColumn="0" w:firstRowLastColumn="0" w:lastRowFirstColumn="0" w:lastRowLastColumn="0"/>
            </w:pPr>
            <w:r>
              <w:t>+200</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A730BD" w:rsidRPr="0091147B" w:rsidRDefault="00563CEE" w:rsidP="00684C92">
            <w:pPr>
              <w:pStyle w:val="Tabletext"/>
              <w:cnfStyle w:val="000000000000" w:firstRow="0" w:lastRow="0" w:firstColumn="0" w:lastColumn="0" w:oddVBand="0" w:evenVBand="0" w:oddHBand="0" w:evenHBand="0" w:firstRowFirstColumn="0" w:firstRowLastColumn="0" w:lastRowFirstColumn="0" w:lastRowLastColumn="0"/>
            </w:pPr>
            <w:r>
              <w:t>+500</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A730BD" w:rsidRPr="0091147B" w:rsidRDefault="00563CEE">
            <w:pPr>
              <w:pStyle w:val="Tabletext"/>
              <w:cnfStyle w:val="000000000000" w:firstRow="0" w:lastRow="0" w:firstColumn="0" w:lastColumn="0" w:oddVBand="0" w:evenVBand="0" w:oddHBand="0" w:evenHBand="0" w:firstRowFirstColumn="0" w:firstRowLastColumn="0" w:lastRowFirstColumn="0" w:lastRowLastColumn="0"/>
            </w:pPr>
            <w:r>
              <w:t>+800</w:t>
            </w:r>
          </w:p>
        </w:tc>
        <w:tc>
          <w:tcPr>
            <w:tcW w:w="532" w:type="pct"/>
            <w:tcBorders>
              <w:top w:val="single" w:sz="4" w:space="0" w:color="749CC9" w:themeColor="accent3"/>
              <w:left w:val="single" w:sz="4" w:space="0" w:color="749CC9" w:themeColor="accent3"/>
              <w:bottom w:val="single" w:sz="4" w:space="0" w:color="749CC9" w:themeColor="accent3"/>
            </w:tcBorders>
            <w:shd w:val="clear" w:color="auto" w:fill="auto"/>
            <w:vAlign w:val="center"/>
          </w:tcPr>
          <w:p w:rsidR="00A730BD" w:rsidRPr="0091147B" w:rsidRDefault="00563CEE" w:rsidP="00684C92">
            <w:pPr>
              <w:pStyle w:val="Tabletext"/>
              <w:cnfStyle w:val="000000000000" w:firstRow="0" w:lastRow="0" w:firstColumn="0" w:lastColumn="0" w:oddVBand="0" w:evenVBand="0" w:oddHBand="0" w:evenHBand="0" w:firstRowFirstColumn="0" w:firstRowLastColumn="0" w:lastRowFirstColumn="0" w:lastRowLastColumn="0"/>
            </w:pPr>
            <w:r>
              <w:t>+800</w:t>
            </w:r>
          </w:p>
        </w:tc>
      </w:tr>
      <w:tr w:rsidR="00684C92" w:rsidTr="00563CEE">
        <w:trPr>
          <w:gridAfter w:val="1"/>
          <w:cnfStyle w:val="000000010000" w:firstRow="0" w:lastRow="0" w:firstColumn="0" w:lastColumn="0" w:oddVBand="0" w:evenVBand="0" w:oddHBand="0" w:evenHBand="1" w:firstRowFirstColumn="0" w:firstRowLastColumn="0" w:lastRowFirstColumn="0" w:lastRowLastColumn="0"/>
          <w:wAfter w:w="24" w:type="pct"/>
        </w:trPr>
        <w:tc>
          <w:tcPr>
            <w:cnfStyle w:val="001000000000" w:firstRow="0" w:lastRow="0" w:firstColumn="1" w:lastColumn="0" w:oddVBand="0" w:evenVBand="0" w:oddHBand="0" w:evenHBand="0" w:firstRowFirstColumn="0" w:firstRowLastColumn="0" w:lastRowFirstColumn="0" w:lastRowLastColumn="0"/>
            <w:tcW w:w="1364" w:type="pct"/>
            <w:tcBorders>
              <w:top w:val="single" w:sz="4" w:space="0" w:color="749CC9" w:themeColor="accent3"/>
              <w:left w:val="nil"/>
              <w:bottom w:val="single" w:sz="4" w:space="0" w:color="749CC9" w:themeColor="accent3"/>
              <w:right w:val="single" w:sz="4" w:space="0" w:color="749CC9" w:themeColor="accent3"/>
            </w:tcBorders>
          </w:tcPr>
          <w:p w:rsidR="00D95733" w:rsidRDefault="00A730BD" w:rsidP="00D95733">
            <w:pPr>
              <w:pStyle w:val="Tabletext"/>
            </w:pPr>
            <w:r w:rsidRPr="00A730BD">
              <w:t>Participant satisfaction</w:t>
            </w:r>
          </w:p>
        </w:tc>
        <w:tc>
          <w:tcPr>
            <w:tcW w:w="537"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tcPr>
          <w:p w:rsidR="00D95733" w:rsidRPr="0091147B" w:rsidRDefault="00A730BD" w:rsidP="00D95733">
            <w:pPr>
              <w:pStyle w:val="Tabletext"/>
              <w:cnfStyle w:val="000000010000" w:firstRow="0" w:lastRow="0" w:firstColumn="0" w:lastColumn="0" w:oddVBand="0" w:evenVBand="0" w:oddHBand="0" w:evenHBand="1" w:firstRowFirstColumn="0" w:firstRowLastColumn="0" w:lastRowFirstColumn="0" w:lastRowLastColumn="0"/>
            </w:pPr>
            <w:r>
              <w:t>Existing</w:t>
            </w:r>
          </w:p>
        </w:tc>
        <w:tc>
          <w:tcPr>
            <w:tcW w:w="444"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tcPr>
          <w:p w:rsidR="00D95733" w:rsidRPr="0091147B" w:rsidRDefault="00A730BD" w:rsidP="00D95733">
            <w:pPr>
              <w:pStyle w:val="Tabletext"/>
              <w:cnfStyle w:val="000000010000" w:firstRow="0" w:lastRow="0" w:firstColumn="0" w:lastColumn="0" w:oddVBand="0" w:evenVBand="0" w:oddHBand="0" w:evenHBand="1" w:firstRowFirstColumn="0" w:firstRowLastColumn="0" w:lastRowFirstColumn="0" w:lastRowLastColumn="0"/>
            </w:pPr>
            <w:r>
              <w:t>Per cent</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D95733" w:rsidRPr="0091147B" w:rsidRDefault="00563CEE">
            <w:pPr>
              <w:pStyle w:val="Tabletext"/>
              <w:cnfStyle w:val="000000010000" w:firstRow="0" w:lastRow="0" w:firstColumn="0" w:lastColumn="0" w:oddVBand="0" w:evenVBand="0" w:oddHBand="0" w:evenHBand="1" w:firstRowFirstColumn="0" w:firstRowLastColumn="0" w:lastRowFirstColumn="0" w:lastRowLastColumn="0"/>
            </w:pPr>
            <w:r>
              <w:t>80</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D95733" w:rsidRPr="0091147B" w:rsidRDefault="00563CEE">
            <w:pPr>
              <w:pStyle w:val="Tabletext"/>
              <w:cnfStyle w:val="000000010000" w:firstRow="0" w:lastRow="0" w:firstColumn="0" w:lastColumn="0" w:oddVBand="0" w:evenVBand="0" w:oddHBand="0" w:evenHBand="1" w:firstRowFirstColumn="0" w:firstRowLastColumn="0" w:lastRowFirstColumn="0" w:lastRowLastColumn="0"/>
            </w:pPr>
            <w:r>
              <w:t>+1</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D95733" w:rsidRPr="0091147B" w:rsidRDefault="00563CEE">
            <w:pPr>
              <w:pStyle w:val="Tabletext"/>
              <w:cnfStyle w:val="000000010000" w:firstRow="0" w:lastRow="0" w:firstColumn="0" w:lastColumn="0" w:oddVBand="0" w:evenVBand="0" w:oddHBand="0" w:evenHBand="1" w:firstRowFirstColumn="0" w:firstRowLastColumn="0" w:lastRowFirstColumn="0" w:lastRowLastColumn="0"/>
            </w:pPr>
            <w:r>
              <w:t>+3</w:t>
            </w:r>
          </w:p>
        </w:tc>
        <w:tc>
          <w:tcPr>
            <w:tcW w:w="525" w:type="pct"/>
            <w:tcBorders>
              <w:top w:val="single" w:sz="4" w:space="0" w:color="749CC9" w:themeColor="accent3"/>
              <w:left w:val="single" w:sz="4" w:space="0" w:color="749CC9" w:themeColor="accent3"/>
              <w:bottom w:val="single" w:sz="4" w:space="0" w:color="749CC9" w:themeColor="accent3"/>
              <w:right w:val="single" w:sz="4" w:space="0" w:color="749CC9" w:themeColor="accent3"/>
            </w:tcBorders>
            <w:shd w:val="clear" w:color="auto" w:fill="auto"/>
            <w:vAlign w:val="center"/>
          </w:tcPr>
          <w:p w:rsidR="00D95733" w:rsidRPr="0091147B" w:rsidRDefault="00563CEE" w:rsidP="00D95733">
            <w:pPr>
              <w:pStyle w:val="Tabletext"/>
              <w:cnfStyle w:val="000000010000" w:firstRow="0" w:lastRow="0" w:firstColumn="0" w:lastColumn="0" w:oddVBand="0" w:evenVBand="0" w:oddHBand="0" w:evenHBand="1" w:firstRowFirstColumn="0" w:firstRowLastColumn="0" w:lastRowFirstColumn="0" w:lastRowLastColumn="0"/>
            </w:pPr>
            <w:r>
              <w:t>+5</w:t>
            </w:r>
          </w:p>
        </w:tc>
        <w:tc>
          <w:tcPr>
            <w:tcW w:w="532" w:type="pct"/>
            <w:tcBorders>
              <w:top w:val="single" w:sz="4" w:space="0" w:color="749CC9" w:themeColor="accent3"/>
              <w:left w:val="single" w:sz="4" w:space="0" w:color="749CC9" w:themeColor="accent3"/>
              <w:bottom w:val="single" w:sz="4" w:space="0" w:color="749CC9" w:themeColor="accent3"/>
            </w:tcBorders>
            <w:shd w:val="clear" w:color="auto" w:fill="auto"/>
            <w:vAlign w:val="center"/>
          </w:tcPr>
          <w:p w:rsidR="00D95733" w:rsidRPr="0091147B" w:rsidRDefault="00563CEE" w:rsidP="00D95733">
            <w:pPr>
              <w:pStyle w:val="Tabletext"/>
              <w:cnfStyle w:val="000000010000" w:firstRow="0" w:lastRow="0" w:firstColumn="0" w:lastColumn="0" w:oddVBand="0" w:evenVBand="0" w:oddHBand="0" w:evenHBand="1" w:firstRowFirstColumn="0" w:firstRowLastColumn="0" w:lastRowFirstColumn="0" w:lastRowLastColumn="0"/>
            </w:pPr>
            <w:r>
              <w:t>+5</w:t>
            </w:r>
          </w:p>
        </w:tc>
      </w:tr>
      <w:tr w:rsidR="00684C92" w:rsidTr="00563CEE">
        <w:trPr>
          <w:gridAfter w:val="1"/>
          <w:wAfter w:w="24" w:type="pct"/>
        </w:trPr>
        <w:tc>
          <w:tcPr>
            <w:cnfStyle w:val="001000000000" w:firstRow="0" w:lastRow="0" w:firstColumn="1" w:lastColumn="0" w:oddVBand="0" w:evenVBand="0" w:oddHBand="0" w:evenHBand="0" w:firstRowFirstColumn="0" w:firstRowLastColumn="0" w:lastRowFirstColumn="0" w:lastRowLastColumn="0"/>
            <w:tcW w:w="1364" w:type="pct"/>
            <w:tcBorders>
              <w:top w:val="single" w:sz="4" w:space="0" w:color="749CC9" w:themeColor="accent3"/>
              <w:left w:val="nil"/>
              <w:bottom w:val="single" w:sz="12" w:space="0" w:color="0063A6" w:themeColor="accent1"/>
              <w:right w:val="single" w:sz="4" w:space="0" w:color="749CC9" w:themeColor="accent3"/>
            </w:tcBorders>
          </w:tcPr>
          <w:p w:rsidR="00D95733" w:rsidRDefault="00A730BD" w:rsidP="00D95733">
            <w:pPr>
              <w:pStyle w:val="Tabletext"/>
            </w:pPr>
            <w:r w:rsidRPr="00A730BD">
              <w:t>Proportion of applications processed within 3 months</w:t>
            </w:r>
          </w:p>
        </w:tc>
        <w:tc>
          <w:tcPr>
            <w:tcW w:w="537"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tcPr>
          <w:p w:rsidR="00D95733" w:rsidRPr="0091147B" w:rsidRDefault="00A730BD" w:rsidP="00D95733">
            <w:pPr>
              <w:pStyle w:val="Tabletext"/>
              <w:cnfStyle w:val="000000000000" w:firstRow="0" w:lastRow="0" w:firstColumn="0" w:lastColumn="0" w:oddVBand="0" w:evenVBand="0" w:oddHBand="0" w:evenHBand="0" w:firstRowFirstColumn="0" w:firstRowLastColumn="0" w:lastRowFirstColumn="0" w:lastRowLastColumn="0"/>
            </w:pPr>
            <w:r>
              <w:t>Existing</w:t>
            </w:r>
          </w:p>
        </w:tc>
        <w:tc>
          <w:tcPr>
            <w:tcW w:w="444"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tcPr>
          <w:p w:rsidR="00D95733" w:rsidRPr="0091147B" w:rsidRDefault="00A730BD" w:rsidP="00D95733">
            <w:pPr>
              <w:pStyle w:val="Tabletext"/>
              <w:cnfStyle w:val="000000000000" w:firstRow="0" w:lastRow="0" w:firstColumn="0" w:lastColumn="0" w:oddVBand="0" w:evenVBand="0" w:oddHBand="0" w:evenHBand="0" w:firstRowFirstColumn="0" w:firstRowLastColumn="0" w:lastRowFirstColumn="0" w:lastRowLastColumn="0"/>
            </w:pPr>
            <w:r>
              <w:t>Per cent</w:t>
            </w:r>
          </w:p>
        </w:tc>
        <w:tc>
          <w:tcPr>
            <w:tcW w:w="525"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vAlign w:val="center"/>
          </w:tcPr>
          <w:p w:rsidR="00D95733" w:rsidRPr="0091147B" w:rsidRDefault="00563CEE" w:rsidP="00D95733">
            <w:pPr>
              <w:pStyle w:val="Tabletext"/>
              <w:cnfStyle w:val="000000000000" w:firstRow="0" w:lastRow="0" w:firstColumn="0" w:lastColumn="0" w:oddVBand="0" w:evenVBand="0" w:oddHBand="0" w:evenHBand="0" w:firstRowFirstColumn="0" w:firstRowLastColumn="0" w:lastRowFirstColumn="0" w:lastRowLastColumn="0"/>
            </w:pPr>
            <w:r>
              <w:t>99</w:t>
            </w:r>
          </w:p>
        </w:tc>
        <w:tc>
          <w:tcPr>
            <w:tcW w:w="525"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vAlign w:val="center"/>
          </w:tcPr>
          <w:p w:rsidR="00D95733" w:rsidRPr="0091147B" w:rsidRDefault="00563CEE" w:rsidP="00D95733">
            <w:pPr>
              <w:pStyle w:val="Tabletext"/>
              <w:cnfStyle w:val="000000000000" w:firstRow="0" w:lastRow="0" w:firstColumn="0" w:lastColumn="0" w:oddVBand="0" w:evenVBand="0" w:oddHBand="0" w:evenHBand="0" w:firstRowFirstColumn="0" w:firstRowLastColumn="0" w:lastRowFirstColumn="0" w:lastRowLastColumn="0"/>
            </w:pPr>
            <w:r>
              <w:t>0</w:t>
            </w:r>
          </w:p>
        </w:tc>
        <w:tc>
          <w:tcPr>
            <w:tcW w:w="525"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vAlign w:val="center"/>
          </w:tcPr>
          <w:p w:rsidR="00D95733" w:rsidRPr="0091147B" w:rsidRDefault="00563CEE" w:rsidP="00D95733">
            <w:pPr>
              <w:pStyle w:val="Tabletext"/>
              <w:cnfStyle w:val="000000000000" w:firstRow="0" w:lastRow="0" w:firstColumn="0" w:lastColumn="0" w:oddVBand="0" w:evenVBand="0" w:oddHBand="0" w:evenHBand="0" w:firstRowFirstColumn="0" w:firstRowLastColumn="0" w:lastRowFirstColumn="0" w:lastRowLastColumn="0"/>
            </w:pPr>
            <w:r>
              <w:t>0</w:t>
            </w:r>
          </w:p>
        </w:tc>
        <w:tc>
          <w:tcPr>
            <w:tcW w:w="525" w:type="pct"/>
            <w:tcBorders>
              <w:top w:val="single" w:sz="4" w:space="0" w:color="749CC9" w:themeColor="accent3"/>
              <w:left w:val="single" w:sz="4" w:space="0" w:color="749CC9" w:themeColor="accent3"/>
              <w:bottom w:val="single" w:sz="12" w:space="0" w:color="0063A6" w:themeColor="accent1"/>
              <w:right w:val="single" w:sz="4" w:space="0" w:color="749CC9" w:themeColor="accent3"/>
            </w:tcBorders>
            <w:shd w:val="clear" w:color="auto" w:fill="auto"/>
            <w:vAlign w:val="center"/>
          </w:tcPr>
          <w:p w:rsidR="00D95733" w:rsidRPr="0091147B" w:rsidRDefault="00563CEE" w:rsidP="00FB7AE2">
            <w:pPr>
              <w:pStyle w:val="Tabletext"/>
              <w:cnfStyle w:val="000000000000" w:firstRow="0" w:lastRow="0" w:firstColumn="0" w:lastColumn="0" w:oddVBand="0" w:evenVBand="0" w:oddHBand="0" w:evenHBand="0" w:firstRowFirstColumn="0" w:firstRowLastColumn="0" w:lastRowFirstColumn="0" w:lastRowLastColumn="0"/>
            </w:pPr>
            <w:r>
              <w:t>0</w:t>
            </w:r>
          </w:p>
        </w:tc>
        <w:tc>
          <w:tcPr>
            <w:tcW w:w="532" w:type="pct"/>
            <w:tcBorders>
              <w:top w:val="single" w:sz="4" w:space="0" w:color="749CC9" w:themeColor="accent3"/>
              <w:left w:val="single" w:sz="4" w:space="0" w:color="749CC9" w:themeColor="accent3"/>
              <w:bottom w:val="single" w:sz="12" w:space="0" w:color="0063A6" w:themeColor="accent1"/>
            </w:tcBorders>
            <w:shd w:val="clear" w:color="auto" w:fill="auto"/>
            <w:vAlign w:val="center"/>
          </w:tcPr>
          <w:p w:rsidR="00D95733" w:rsidRPr="0091147B" w:rsidRDefault="00563CEE" w:rsidP="00D95733">
            <w:pPr>
              <w:pStyle w:val="Tabletext"/>
              <w:cnfStyle w:val="000000000000" w:firstRow="0" w:lastRow="0" w:firstColumn="0" w:lastColumn="0" w:oddVBand="0" w:evenVBand="0" w:oddHBand="0" w:evenHBand="0" w:firstRowFirstColumn="0" w:firstRowLastColumn="0" w:lastRowFirstColumn="0" w:lastRowLastColumn="0"/>
            </w:pPr>
            <w:r>
              <w:t>0</w:t>
            </w:r>
          </w:p>
        </w:tc>
      </w:tr>
    </w:tbl>
    <w:p w:rsidR="00A730BA" w:rsidRDefault="00C32458" w:rsidP="003051AD">
      <w:pPr>
        <w:pStyle w:val="Heading1numbered"/>
        <w:tabs>
          <w:tab w:val="clear" w:pos="792"/>
        </w:tabs>
        <w:ind w:left="567" w:hanging="567"/>
        <w:rPr>
          <w:rFonts w:ascii="Arial" w:hAnsi="Arial" w:cs="Arial"/>
          <w:color w:val="000000"/>
        </w:rPr>
      </w:pPr>
      <w:bookmarkStart w:id="30" w:name="_Toc491965736"/>
      <w:bookmarkStart w:id="31" w:name="_Toc489537866"/>
      <w:bookmarkStart w:id="32" w:name="_Toc492466348"/>
      <w:bookmarkEnd w:id="30"/>
      <w:r w:rsidRPr="00C32458">
        <w:rPr>
          <w:rFonts w:ascii="Arial" w:hAnsi="Arial" w:cs="Arial"/>
          <w:color w:val="000000"/>
        </w:rPr>
        <w:t>Climate Change Impacts</w:t>
      </w:r>
      <w:bookmarkEnd w:id="31"/>
      <w:bookmarkEnd w:id="32"/>
      <w:r>
        <w:rPr>
          <w:rFonts w:ascii="Arial" w:hAnsi="Arial" w:cs="Arial"/>
          <w:color w:val="000000"/>
        </w:rPr>
        <w:t xml:space="preserve"> </w:t>
      </w:r>
    </w:p>
    <w:p w:rsidR="00E22316" w:rsidRDefault="00E22316" w:rsidP="008E67A7">
      <w:pPr>
        <w:pStyle w:val="NormalIndent"/>
        <w:ind w:left="0"/>
      </w:pPr>
      <w:r w:rsidRPr="00E22316">
        <w:t xml:space="preserve">The Victorian Government passed the </w:t>
      </w:r>
      <w:r w:rsidRPr="008E67A7">
        <w:rPr>
          <w:i/>
        </w:rPr>
        <w:t>Climate Change Act 2017</w:t>
      </w:r>
      <w:r w:rsidRPr="00E22316">
        <w:t xml:space="preserve"> in February 2017 with it commencing from 1 November 2017. Section 20 of the Act contains an obligation that any decision, policy, program or process made, developed or implemented by Government takes account of climate change, where relevant, by having regard to the policy objectives and the guiding principles of the Act.</w:t>
      </w:r>
    </w:p>
    <w:p w:rsidR="00766672" w:rsidRDefault="00206B9A" w:rsidP="008E67A7">
      <w:pPr>
        <w:pStyle w:val="NormalIndent"/>
        <w:ind w:left="0"/>
      </w:pPr>
      <w:r>
        <w:t xml:space="preserve">We expect </w:t>
      </w:r>
      <w:r w:rsidR="00E22316" w:rsidRPr="00E22316">
        <w:t>more comprehensive guidance in future years following the release of the Climate Change</w:t>
      </w:r>
      <w:r w:rsidR="00E22316">
        <w:t> </w:t>
      </w:r>
      <w:r w:rsidR="00E22316" w:rsidRPr="00E22316">
        <w:t>policy.</w:t>
      </w:r>
    </w:p>
    <w:p w:rsidR="00C32458" w:rsidRPr="003051AD" w:rsidRDefault="00C32458" w:rsidP="008E67A7">
      <w:pPr>
        <w:pStyle w:val="Listnum"/>
        <w:numPr>
          <w:ilvl w:val="0"/>
          <w:numId w:val="0"/>
        </w:numPr>
        <w:ind w:left="360" w:hanging="360"/>
      </w:pPr>
    </w:p>
    <w:sectPr w:rsidR="00C32458" w:rsidRPr="003051AD" w:rsidSect="00CE2B13">
      <w:headerReference w:type="default" r:id="rId11"/>
      <w:footerReference w:type="default" r:id="rId12"/>
      <w:pgSz w:w="11906" w:h="16838" w:code="9"/>
      <w:pgMar w:top="2160" w:right="1440" w:bottom="1138"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42" w:rsidRDefault="00B76D42" w:rsidP="002D711A">
      <w:pPr>
        <w:spacing w:after="0"/>
      </w:pPr>
      <w:r>
        <w:separator/>
      </w:r>
    </w:p>
  </w:endnote>
  <w:endnote w:type="continuationSeparator" w:id="0">
    <w:p w:rsidR="00B76D42" w:rsidRDefault="00B76D42" w:rsidP="002D71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92" w:rsidRDefault="00684C92" w:rsidP="00CE2B13">
    <w:pPr>
      <w:pStyle w:val="Spacer"/>
    </w:pPr>
  </w:p>
  <w:p w:rsidR="00684C92" w:rsidRPr="00C022F9" w:rsidRDefault="00684C92" w:rsidP="00CE2B13">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94FD2">
      <w:rPr>
        <w:b/>
        <w:color w:val="0063A6" w:themeColor="accent1"/>
      </w:rPr>
      <w:t>Attachment E: 2018-19 budget submission and template – additional guidance</w:t>
    </w:r>
    <w:r w:rsidRPr="00C022F9">
      <w:rPr>
        <w:b/>
        <w:color w:val="0063A6" w:themeColor="accent1"/>
      </w:rPr>
      <w:fldChar w:fldCharType="end"/>
    </w:r>
    <w:r>
      <w:t xml:space="preserve"> </w:t>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394FD2">
      <w:rPr>
        <w:rStyle w:val="PageNumber"/>
      </w:rPr>
      <w:t>1</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42" w:rsidRDefault="00B76D42" w:rsidP="002D711A">
      <w:pPr>
        <w:spacing w:after="0"/>
      </w:pPr>
      <w:r>
        <w:separator/>
      </w:r>
    </w:p>
  </w:footnote>
  <w:footnote w:type="continuationSeparator" w:id="0">
    <w:p w:rsidR="00B76D42" w:rsidRDefault="00B76D42" w:rsidP="002D71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92" w:rsidRDefault="00684C92">
    <w:pPr>
      <w:pStyle w:val="Header"/>
    </w:pPr>
    <w:r w:rsidRPr="00AF3F3D">
      <w:rPr>
        <w:noProof/>
      </w:rPr>
      <w:drawing>
        <wp:anchor distT="0" distB="0" distL="114300" distR="114300" simplePos="0" relativeHeight="251657728" behindDoc="0" locked="0" layoutInCell="1" allowOverlap="1" wp14:anchorId="2C3B6E4F" wp14:editId="7F039AD9">
          <wp:simplePos x="0" y="0"/>
          <wp:positionH relativeFrom="column">
            <wp:posOffset>-374650</wp:posOffset>
          </wp:positionH>
          <wp:positionV relativeFrom="page">
            <wp:posOffset>224790</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AF3F3D">
      <w:rPr>
        <w:noProof/>
      </w:rPr>
      <w:drawing>
        <wp:anchor distT="0" distB="0" distL="114300" distR="114300" simplePos="0" relativeHeight="251656704" behindDoc="0" locked="0" layoutInCell="1" allowOverlap="1" wp14:anchorId="485861FB" wp14:editId="01B3AA49">
          <wp:simplePos x="0" y="0"/>
          <wp:positionH relativeFrom="column">
            <wp:posOffset>-969010</wp:posOffset>
          </wp:positionH>
          <wp:positionV relativeFrom="page">
            <wp:posOffset>51064</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p w:rsidR="00684C92" w:rsidRDefault="00684C92" w:rsidP="00CE2B13">
    <w:pPr>
      <w:pStyle w:val="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CE7F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C50309"/>
    <w:multiLevelType w:val="multilevel"/>
    <w:tmpl w:val="2196C3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6950C02"/>
    <w:multiLevelType w:val="hybridMultilevel"/>
    <w:tmpl w:val="C060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B1"/>
    <w:rsid w:val="00005833"/>
    <w:rsid w:val="00012F6F"/>
    <w:rsid w:val="00014213"/>
    <w:rsid w:val="000146EC"/>
    <w:rsid w:val="00014B55"/>
    <w:rsid w:val="00020E3E"/>
    <w:rsid w:val="00023BF3"/>
    <w:rsid w:val="00026339"/>
    <w:rsid w:val="00026811"/>
    <w:rsid w:val="00043296"/>
    <w:rsid w:val="0004356D"/>
    <w:rsid w:val="00045296"/>
    <w:rsid w:val="0004548A"/>
    <w:rsid w:val="00046120"/>
    <w:rsid w:val="00055FD6"/>
    <w:rsid w:val="00056E4B"/>
    <w:rsid w:val="000603AF"/>
    <w:rsid w:val="00075E6C"/>
    <w:rsid w:val="0009599F"/>
    <w:rsid w:val="000A6AF4"/>
    <w:rsid w:val="000B29AD"/>
    <w:rsid w:val="000B6F98"/>
    <w:rsid w:val="000C6372"/>
    <w:rsid w:val="000D50F6"/>
    <w:rsid w:val="000D593F"/>
    <w:rsid w:val="000D6069"/>
    <w:rsid w:val="000E392D"/>
    <w:rsid w:val="000E63F5"/>
    <w:rsid w:val="000E7BD5"/>
    <w:rsid w:val="000F4288"/>
    <w:rsid w:val="000F7165"/>
    <w:rsid w:val="00102379"/>
    <w:rsid w:val="001065D6"/>
    <w:rsid w:val="00116474"/>
    <w:rsid w:val="00121252"/>
    <w:rsid w:val="00124609"/>
    <w:rsid w:val="001254CE"/>
    <w:rsid w:val="00125A97"/>
    <w:rsid w:val="00126AF9"/>
    <w:rsid w:val="00130F5E"/>
    <w:rsid w:val="00134CEA"/>
    <w:rsid w:val="00141DC3"/>
    <w:rsid w:val="001422CC"/>
    <w:rsid w:val="00146295"/>
    <w:rsid w:val="001617B6"/>
    <w:rsid w:val="00165E66"/>
    <w:rsid w:val="001674F9"/>
    <w:rsid w:val="00171A1B"/>
    <w:rsid w:val="00173B06"/>
    <w:rsid w:val="00190B75"/>
    <w:rsid w:val="001953EC"/>
    <w:rsid w:val="001A3DD1"/>
    <w:rsid w:val="001A53AD"/>
    <w:rsid w:val="001A5E99"/>
    <w:rsid w:val="001B302B"/>
    <w:rsid w:val="001B481A"/>
    <w:rsid w:val="001C0157"/>
    <w:rsid w:val="001C48B2"/>
    <w:rsid w:val="001C7BAE"/>
    <w:rsid w:val="001D717E"/>
    <w:rsid w:val="001E31FA"/>
    <w:rsid w:val="001E64F6"/>
    <w:rsid w:val="0020394D"/>
    <w:rsid w:val="00206B9A"/>
    <w:rsid w:val="0021514C"/>
    <w:rsid w:val="00216A76"/>
    <w:rsid w:val="00222BEB"/>
    <w:rsid w:val="00225E60"/>
    <w:rsid w:val="00226F8E"/>
    <w:rsid w:val="0023202C"/>
    <w:rsid w:val="00236203"/>
    <w:rsid w:val="002369FA"/>
    <w:rsid w:val="00242EB0"/>
    <w:rsid w:val="00245043"/>
    <w:rsid w:val="0024516D"/>
    <w:rsid w:val="002527EE"/>
    <w:rsid w:val="00257760"/>
    <w:rsid w:val="00265640"/>
    <w:rsid w:val="00267F8F"/>
    <w:rsid w:val="00271FAF"/>
    <w:rsid w:val="0027202C"/>
    <w:rsid w:val="002751DA"/>
    <w:rsid w:val="0028369F"/>
    <w:rsid w:val="002875D4"/>
    <w:rsid w:val="0029277F"/>
    <w:rsid w:val="00292D36"/>
    <w:rsid w:val="00297281"/>
    <w:rsid w:val="002A316F"/>
    <w:rsid w:val="002A37AC"/>
    <w:rsid w:val="002C54E0"/>
    <w:rsid w:val="002D711A"/>
    <w:rsid w:val="002D7336"/>
    <w:rsid w:val="002E3396"/>
    <w:rsid w:val="002E4CC3"/>
    <w:rsid w:val="002E6441"/>
    <w:rsid w:val="002E6577"/>
    <w:rsid w:val="002E6BBB"/>
    <w:rsid w:val="002F2384"/>
    <w:rsid w:val="002F476C"/>
    <w:rsid w:val="0030228C"/>
    <w:rsid w:val="003051AD"/>
    <w:rsid w:val="0031149C"/>
    <w:rsid w:val="00316741"/>
    <w:rsid w:val="00362ECB"/>
    <w:rsid w:val="00371276"/>
    <w:rsid w:val="003720C0"/>
    <w:rsid w:val="00372D93"/>
    <w:rsid w:val="0037491E"/>
    <w:rsid w:val="0038771C"/>
    <w:rsid w:val="00387F18"/>
    <w:rsid w:val="00392A8F"/>
    <w:rsid w:val="0039405B"/>
    <w:rsid w:val="00394FD2"/>
    <w:rsid w:val="003A04D4"/>
    <w:rsid w:val="003A1C92"/>
    <w:rsid w:val="003A541A"/>
    <w:rsid w:val="003A6923"/>
    <w:rsid w:val="003C2BBA"/>
    <w:rsid w:val="003C2C67"/>
    <w:rsid w:val="003C2EA2"/>
    <w:rsid w:val="003C5BA4"/>
    <w:rsid w:val="003D27FA"/>
    <w:rsid w:val="003E39D7"/>
    <w:rsid w:val="003E3E26"/>
    <w:rsid w:val="003E495A"/>
    <w:rsid w:val="003F1295"/>
    <w:rsid w:val="003F76FC"/>
    <w:rsid w:val="004002EB"/>
    <w:rsid w:val="004006B0"/>
    <w:rsid w:val="0040226E"/>
    <w:rsid w:val="00405C57"/>
    <w:rsid w:val="0041090F"/>
    <w:rsid w:val="004159F0"/>
    <w:rsid w:val="00415E98"/>
    <w:rsid w:val="0041689E"/>
    <w:rsid w:val="00423353"/>
    <w:rsid w:val="004236C8"/>
    <w:rsid w:val="00424861"/>
    <w:rsid w:val="00427681"/>
    <w:rsid w:val="00433DB7"/>
    <w:rsid w:val="00444C57"/>
    <w:rsid w:val="00453750"/>
    <w:rsid w:val="004546D6"/>
    <w:rsid w:val="00456941"/>
    <w:rsid w:val="00460D96"/>
    <w:rsid w:val="004610C0"/>
    <w:rsid w:val="004669E3"/>
    <w:rsid w:val="004702EA"/>
    <w:rsid w:val="00477866"/>
    <w:rsid w:val="00482D02"/>
    <w:rsid w:val="00490F8C"/>
    <w:rsid w:val="00493FB9"/>
    <w:rsid w:val="004A7519"/>
    <w:rsid w:val="004B05D6"/>
    <w:rsid w:val="004B1E74"/>
    <w:rsid w:val="004B41CA"/>
    <w:rsid w:val="004B78BA"/>
    <w:rsid w:val="004D3518"/>
    <w:rsid w:val="004D58F8"/>
    <w:rsid w:val="004D62D6"/>
    <w:rsid w:val="004E3A83"/>
    <w:rsid w:val="004E3C02"/>
    <w:rsid w:val="004F06A3"/>
    <w:rsid w:val="00507D66"/>
    <w:rsid w:val="00516A7D"/>
    <w:rsid w:val="0053416C"/>
    <w:rsid w:val="00541C2F"/>
    <w:rsid w:val="005551FD"/>
    <w:rsid w:val="00555941"/>
    <w:rsid w:val="00561412"/>
    <w:rsid w:val="00563527"/>
    <w:rsid w:val="00563CEE"/>
    <w:rsid w:val="0058124E"/>
    <w:rsid w:val="00584301"/>
    <w:rsid w:val="005875A3"/>
    <w:rsid w:val="00594426"/>
    <w:rsid w:val="005A040B"/>
    <w:rsid w:val="005A10C6"/>
    <w:rsid w:val="005A3114"/>
    <w:rsid w:val="005A3416"/>
    <w:rsid w:val="005B27FE"/>
    <w:rsid w:val="005B6C27"/>
    <w:rsid w:val="005C3005"/>
    <w:rsid w:val="005C3E6D"/>
    <w:rsid w:val="005C4E03"/>
    <w:rsid w:val="005C5CFD"/>
    <w:rsid w:val="005F091E"/>
    <w:rsid w:val="005F61DF"/>
    <w:rsid w:val="00601AEA"/>
    <w:rsid w:val="006023F9"/>
    <w:rsid w:val="00610559"/>
    <w:rsid w:val="0061081C"/>
    <w:rsid w:val="006137B6"/>
    <w:rsid w:val="006219A3"/>
    <w:rsid w:val="00625024"/>
    <w:rsid w:val="006332F6"/>
    <w:rsid w:val="00633A59"/>
    <w:rsid w:val="006361E7"/>
    <w:rsid w:val="0064137C"/>
    <w:rsid w:val="00652625"/>
    <w:rsid w:val="006534B2"/>
    <w:rsid w:val="006553BF"/>
    <w:rsid w:val="0065615D"/>
    <w:rsid w:val="00657011"/>
    <w:rsid w:val="006606CC"/>
    <w:rsid w:val="006650B5"/>
    <w:rsid w:val="006651B1"/>
    <w:rsid w:val="00665778"/>
    <w:rsid w:val="006738C4"/>
    <w:rsid w:val="00684C92"/>
    <w:rsid w:val="0069176E"/>
    <w:rsid w:val="006923BE"/>
    <w:rsid w:val="006A5B34"/>
    <w:rsid w:val="006A5F5B"/>
    <w:rsid w:val="006B450B"/>
    <w:rsid w:val="006B5B24"/>
    <w:rsid w:val="006C2963"/>
    <w:rsid w:val="006C77A9"/>
    <w:rsid w:val="006C7C50"/>
    <w:rsid w:val="006D1B51"/>
    <w:rsid w:val="006D5D25"/>
    <w:rsid w:val="006E158B"/>
    <w:rsid w:val="006F06FC"/>
    <w:rsid w:val="006F37F0"/>
    <w:rsid w:val="006F6693"/>
    <w:rsid w:val="00707FE8"/>
    <w:rsid w:val="00724962"/>
    <w:rsid w:val="00724A0F"/>
    <w:rsid w:val="00727805"/>
    <w:rsid w:val="0073072C"/>
    <w:rsid w:val="007320B4"/>
    <w:rsid w:val="00732162"/>
    <w:rsid w:val="00735288"/>
    <w:rsid w:val="00736732"/>
    <w:rsid w:val="0074701D"/>
    <w:rsid w:val="00750CBE"/>
    <w:rsid w:val="00753E1B"/>
    <w:rsid w:val="00764C11"/>
    <w:rsid w:val="00765615"/>
    <w:rsid w:val="00766672"/>
    <w:rsid w:val="00766B5A"/>
    <w:rsid w:val="007834F2"/>
    <w:rsid w:val="00791020"/>
    <w:rsid w:val="0079764A"/>
    <w:rsid w:val="007A5F82"/>
    <w:rsid w:val="007B75A4"/>
    <w:rsid w:val="007D22E6"/>
    <w:rsid w:val="007F1A4C"/>
    <w:rsid w:val="007F7BF3"/>
    <w:rsid w:val="008013CD"/>
    <w:rsid w:val="008022C3"/>
    <w:rsid w:val="00802B79"/>
    <w:rsid w:val="008041E6"/>
    <w:rsid w:val="008065D2"/>
    <w:rsid w:val="00816334"/>
    <w:rsid w:val="0082194C"/>
    <w:rsid w:val="008220C4"/>
    <w:rsid w:val="008222FF"/>
    <w:rsid w:val="008241FF"/>
    <w:rsid w:val="008314BD"/>
    <w:rsid w:val="008355DF"/>
    <w:rsid w:val="00835BF1"/>
    <w:rsid w:val="00840DB7"/>
    <w:rsid w:val="008411E9"/>
    <w:rsid w:val="0084200F"/>
    <w:rsid w:val="00843B2C"/>
    <w:rsid w:val="008471C4"/>
    <w:rsid w:val="00854C34"/>
    <w:rsid w:val="00861A78"/>
    <w:rsid w:val="00865D6A"/>
    <w:rsid w:val="008A1358"/>
    <w:rsid w:val="008A4900"/>
    <w:rsid w:val="008D0281"/>
    <w:rsid w:val="008D6CE8"/>
    <w:rsid w:val="008E3C4E"/>
    <w:rsid w:val="008E3F93"/>
    <w:rsid w:val="008E5AE2"/>
    <w:rsid w:val="008E67A7"/>
    <w:rsid w:val="008F6D45"/>
    <w:rsid w:val="00915ACE"/>
    <w:rsid w:val="00922522"/>
    <w:rsid w:val="00956E55"/>
    <w:rsid w:val="00964057"/>
    <w:rsid w:val="00982B37"/>
    <w:rsid w:val="009834C0"/>
    <w:rsid w:val="00984C95"/>
    <w:rsid w:val="009857A1"/>
    <w:rsid w:val="009861CB"/>
    <w:rsid w:val="00986AAC"/>
    <w:rsid w:val="009A1DA2"/>
    <w:rsid w:val="009A3704"/>
    <w:rsid w:val="009A4739"/>
    <w:rsid w:val="009A674F"/>
    <w:rsid w:val="009B199C"/>
    <w:rsid w:val="009B3875"/>
    <w:rsid w:val="009B54C8"/>
    <w:rsid w:val="009B61F1"/>
    <w:rsid w:val="009B62E0"/>
    <w:rsid w:val="009C3D88"/>
    <w:rsid w:val="009C46B6"/>
    <w:rsid w:val="009D1159"/>
    <w:rsid w:val="009E3858"/>
    <w:rsid w:val="009E70DD"/>
    <w:rsid w:val="009F2ED9"/>
    <w:rsid w:val="009F3231"/>
    <w:rsid w:val="009F5C58"/>
    <w:rsid w:val="009F5EB2"/>
    <w:rsid w:val="009F6C69"/>
    <w:rsid w:val="00A023A0"/>
    <w:rsid w:val="00A04984"/>
    <w:rsid w:val="00A1562B"/>
    <w:rsid w:val="00A170F4"/>
    <w:rsid w:val="00A2559E"/>
    <w:rsid w:val="00A25FD9"/>
    <w:rsid w:val="00A27726"/>
    <w:rsid w:val="00A33E5C"/>
    <w:rsid w:val="00A36DA9"/>
    <w:rsid w:val="00A46BA8"/>
    <w:rsid w:val="00A47634"/>
    <w:rsid w:val="00A612FE"/>
    <w:rsid w:val="00A72CBD"/>
    <w:rsid w:val="00A730BA"/>
    <w:rsid w:val="00A730BD"/>
    <w:rsid w:val="00A74EFB"/>
    <w:rsid w:val="00A906B6"/>
    <w:rsid w:val="00AA1318"/>
    <w:rsid w:val="00AA1D91"/>
    <w:rsid w:val="00AA26B8"/>
    <w:rsid w:val="00AA35D1"/>
    <w:rsid w:val="00AA6FB5"/>
    <w:rsid w:val="00AB0BB4"/>
    <w:rsid w:val="00AB3FE2"/>
    <w:rsid w:val="00AB5B01"/>
    <w:rsid w:val="00AC4EC5"/>
    <w:rsid w:val="00AD3322"/>
    <w:rsid w:val="00AD7E4E"/>
    <w:rsid w:val="00AE176A"/>
    <w:rsid w:val="00AE1F43"/>
    <w:rsid w:val="00AE55AE"/>
    <w:rsid w:val="00AF34DE"/>
    <w:rsid w:val="00AF3F3D"/>
    <w:rsid w:val="00AF4D58"/>
    <w:rsid w:val="00AF6666"/>
    <w:rsid w:val="00AF6A97"/>
    <w:rsid w:val="00B10154"/>
    <w:rsid w:val="00B32443"/>
    <w:rsid w:val="00B35E03"/>
    <w:rsid w:val="00B4336D"/>
    <w:rsid w:val="00B43B7D"/>
    <w:rsid w:val="00B6247D"/>
    <w:rsid w:val="00B76D42"/>
    <w:rsid w:val="00B81B44"/>
    <w:rsid w:val="00B9053B"/>
    <w:rsid w:val="00BB37A1"/>
    <w:rsid w:val="00BC3422"/>
    <w:rsid w:val="00BC3EC2"/>
    <w:rsid w:val="00BC4F59"/>
    <w:rsid w:val="00BC5A94"/>
    <w:rsid w:val="00BC63F1"/>
    <w:rsid w:val="00BE59AB"/>
    <w:rsid w:val="00C015B9"/>
    <w:rsid w:val="00C017CD"/>
    <w:rsid w:val="00C022F9"/>
    <w:rsid w:val="00C032EA"/>
    <w:rsid w:val="00C06EB5"/>
    <w:rsid w:val="00C1145F"/>
    <w:rsid w:val="00C255E4"/>
    <w:rsid w:val="00C32458"/>
    <w:rsid w:val="00C362DA"/>
    <w:rsid w:val="00C637E1"/>
    <w:rsid w:val="00C70D50"/>
    <w:rsid w:val="00C73C44"/>
    <w:rsid w:val="00C8243E"/>
    <w:rsid w:val="00C85E9B"/>
    <w:rsid w:val="00C87E71"/>
    <w:rsid w:val="00C907D7"/>
    <w:rsid w:val="00C92338"/>
    <w:rsid w:val="00C93CF5"/>
    <w:rsid w:val="00CA2D44"/>
    <w:rsid w:val="00CA7281"/>
    <w:rsid w:val="00CA7C3A"/>
    <w:rsid w:val="00CC1720"/>
    <w:rsid w:val="00CC2DB2"/>
    <w:rsid w:val="00CD0307"/>
    <w:rsid w:val="00CD3D1B"/>
    <w:rsid w:val="00CE2B13"/>
    <w:rsid w:val="00CE62B3"/>
    <w:rsid w:val="00CF04A8"/>
    <w:rsid w:val="00CF11F6"/>
    <w:rsid w:val="00CF7DCA"/>
    <w:rsid w:val="00D01CEC"/>
    <w:rsid w:val="00D15EED"/>
    <w:rsid w:val="00D20C43"/>
    <w:rsid w:val="00D211E9"/>
    <w:rsid w:val="00D2312F"/>
    <w:rsid w:val="00D24286"/>
    <w:rsid w:val="00D269C1"/>
    <w:rsid w:val="00D407B1"/>
    <w:rsid w:val="00D40B57"/>
    <w:rsid w:val="00D417FB"/>
    <w:rsid w:val="00D44953"/>
    <w:rsid w:val="00D542F3"/>
    <w:rsid w:val="00D543E5"/>
    <w:rsid w:val="00D5644B"/>
    <w:rsid w:val="00D56E25"/>
    <w:rsid w:val="00D6124C"/>
    <w:rsid w:val="00D673F3"/>
    <w:rsid w:val="00D71896"/>
    <w:rsid w:val="00D718D7"/>
    <w:rsid w:val="00D73212"/>
    <w:rsid w:val="00D814B7"/>
    <w:rsid w:val="00D849A6"/>
    <w:rsid w:val="00D85F91"/>
    <w:rsid w:val="00D90688"/>
    <w:rsid w:val="00D94A07"/>
    <w:rsid w:val="00D95733"/>
    <w:rsid w:val="00D95859"/>
    <w:rsid w:val="00D967BE"/>
    <w:rsid w:val="00DA3AAD"/>
    <w:rsid w:val="00DA5A48"/>
    <w:rsid w:val="00DA5D56"/>
    <w:rsid w:val="00DB312B"/>
    <w:rsid w:val="00DB3D2A"/>
    <w:rsid w:val="00DB4F22"/>
    <w:rsid w:val="00DB79FB"/>
    <w:rsid w:val="00DC5654"/>
    <w:rsid w:val="00DC658F"/>
    <w:rsid w:val="00DD1885"/>
    <w:rsid w:val="00DD5CDA"/>
    <w:rsid w:val="00DD770E"/>
    <w:rsid w:val="00DE0542"/>
    <w:rsid w:val="00DE60CC"/>
    <w:rsid w:val="00DF71A4"/>
    <w:rsid w:val="00E02BC6"/>
    <w:rsid w:val="00E046D1"/>
    <w:rsid w:val="00E21CC3"/>
    <w:rsid w:val="00E22316"/>
    <w:rsid w:val="00E23707"/>
    <w:rsid w:val="00E26B32"/>
    <w:rsid w:val="00E31444"/>
    <w:rsid w:val="00E36ACD"/>
    <w:rsid w:val="00E407B6"/>
    <w:rsid w:val="00E41EF1"/>
    <w:rsid w:val="00E42562"/>
    <w:rsid w:val="00E42942"/>
    <w:rsid w:val="00E44090"/>
    <w:rsid w:val="00E468A6"/>
    <w:rsid w:val="00E712C9"/>
    <w:rsid w:val="00E71BDF"/>
    <w:rsid w:val="00E77051"/>
    <w:rsid w:val="00E82C0E"/>
    <w:rsid w:val="00E83CA7"/>
    <w:rsid w:val="00EB53A3"/>
    <w:rsid w:val="00EC171D"/>
    <w:rsid w:val="00EC44C9"/>
    <w:rsid w:val="00ED1DC0"/>
    <w:rsid w:val="00ED487E"/>
    <w:rsid w:val="00EE7A0D"/>
    <w:rsid w:val="00EF0D21"/>
    <w:rsid w:val="00EF138D"/>
    <w:rsid w:val="00EF3923"/>
    <w:rsid w:val="00EF55BC"/>
    <w:rsid w:val="00F04BA0"/>
    <w:rsid w:val="00F17CE1"/>
    <w:rsid w:val="00F2115C"/>
    <w:rsid w:val="00F22ABA"/>
    <w:rsid w:val="00F36B12"/>
    <w:rsid w:val="00F417C3"/>
    <w:rsid w:val="00F5577E"/>
    <w:rsid w:val="00F60F9F"/>
    <w:rsid w:val="00F64F08"/>
    <w:rsid w:val="00F66E17"/>
    <w:rsid w:val="00F7047A"/>
    <w:rsid w:val="00F704B1"/>
    <w:rsid w:val="00F734F5"/>
    <w:rsid w:val="00F7686F"/>
    <w:rsid w:val="00F82049"/>
    <w:rsid w:val="00F856AE"/>
    <w:rsid w:val="00F8734B"/>
    <w:rsid w:val="00F92151"/>
    <w:rsid w:val="00F928C8"/>
    <w:rsid w:val="00F966B1"/>
    <w:rsid w:val="00F97D48"/>
    <w:rsid w:val="00F97DF3"/>
    <w:rsid w:val="00FA0311"/>
    <w:rsid w:val="00FA3764"/>
    <w:rsid w:val="00FB40A6"/>
    <w:rsid w:val="00FB7AE2"/>
    <w:rsid w:val="00FC42E5"/>
    <w:rsid w:val="00FD263D"/>
    <w:rsid w:val="00FD640F"/>
    <w:rsid w:val="00FD6B4C"/>
    <w:rsid w:val="00FD6BE9"/>
    <w:rsid w:val="00FD7E42"/>
    <w:rsid w:val="00FF159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Bullet" w:uiPriority="0"/>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CE2B13"/>
    <w:pPr>
      <w:spacing w:before="160" w:after="100"/>
    </w:pPr>
    <w:rPr>
      <w:spacing w:val="2"/>
    </w:rPr>
  </w:style>
  <w:style w:type="paragraph" w:styleId="Heading1">
    <w:name w:val="heading 1"/>
    <w:next w:val="Normal"/>
    <w:link w:val="Heading1Char"/>
    <w:qFormat/>
    <w:rsid w:val="00CE2B13"/>
    <w:pPr>
      <w:keepNext/>
      <w:keepLines/>
      <w:spacing w:before="4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01AEA"/>
    <w:pPr>
      <w:keepNext/>
      <w:keepLines/>
      <w:spacing w:before="280" w:after="240"/>
      <w:ind w:left="792"/>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01AEA"/>
    <w:pPr>
      <w:keepNext/>
      <w:keepLines/>
      <w:spacing w:before="240" w:after="120"/>
      <w:ind w:left="792"/>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01AEA"/>
    <w:pPr>
      <w:keepNext/>
      <w:keepLines/>
      <w:spacing w:before="200" w:after="0"/>
      <w:ind w:left="792"/>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E2B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E2B13"/>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E2B1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E2B1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E2B13"/>
    <w:pPr>
      <w:tabs>
        <w:tab w:val="right" w:leader="dot" w:pos="9000"/>
      </w:tabs>
      <w:ind w:right="432"/>
    </w:pPr>
    <w:rPr>
      <w:sz w:val="24"/>
      <w:szCs w:val="24"/>
    </w:rPr>
  </w:style>
  <w:style w:type="paragraph" w:styleId="TOC2">
    <w:name w:val="toc 2"/>
    <w:next w:val="Normal"/>
    <w:uiPriority w:val="39"/>
    <w:rsid w:val="00CE2B1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E2B13"/>
    <w:pPr>
      <w:tabs>
        <w:tab w:val="right" w:leader="dot" w:pos="9000"/>
      </w:tabs>
      <w:spacing w:before="0"/>
      <w:ind w:left="851" w:right="432"/>
      <w:contextualSpacing/>
    </w:pPr>
    <w:rPr>
      <w:noProof/>
      <w:sz w:val="18"/>
      <w:szCs w:val="18"/>
    </w:rPr>
  </w:style>
  <w:style w:type="paragraph" w:styleId="Index1">
    <w:name w:val="index 1"/>
    <w:basedOn w:val="Normal"/>
    <w:next w:val="Normal"/>
    <w:uiPriority w:val="99"/>
    <w:semiHidden/>
    <w:rsid w:val="00CE2B13"/>
    <w:pPr>
      <w:spacing w:after="60" w:line="240" w:lineRule="auto"/>
    </w:pPr>
    <w:rPr>
      <w:sz w:val="16"/>
    </w:rPr>
  </w:style>
  <w:style w:type="paragraph" w:styleId="Index2">
    <w:name w:val="index 2"/>
    <w:basedOn w:val="Normal"/>
    <w:next w:val="Normal"/>
    <w:uiPriority w:val="99"/>
    <w:semiHidden/>
    <w:rsid w:val="00CE2B13"/>
    <w:pPr>
      <w:spacing w:after="0" w:line="240" w:lineRule="auto"/>
      <w:ind w:left="216"/>
    </w:pPr>
    <w:rPr>
      <w:sz w:val="16"/>
      <w:szCs w:val="16"/>
    </w:rPr>
  </w:style>
  <w:style w:type="character" w:styleId="Hyperlink">
    <w:name w:val="Hyperlink"/>
    <w:basedOn w:val="DefaultParagraphFont"/>
    <w:uiPriority w:val="99"/>
    <w:rsid w:val="00CE2B13"/>
    <w:rPr>
      <w:color w:val="0063A6" w:themeColor="accent1"/>
      <w:u w:val="none"/>
    </w:rPr>
  </w:style>
  <w:style w:type="character" w:customStyle="1" w:styleId="Heading1Char">
    <w:name w:val="Heading 1 Char"/>
    <w:basedOn w:val="DefaultParagraphFont"/>
    <w:link w:val="Heading1"/>
    <w:rsid w:val="00CE2B1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01AE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E2B13"/>
    <w:pPr>
      <w:numPr>
        <w:numId w:val="2"/>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E2B13"/>
    <w:pPr>
      <w:numPr>
        <w:ilvl w:val="1"/>
      </w:numPr>
    </w:pPr>
  </w:style>
  <w:style w:type="paragraph" w:customStyle="1" w:styleId="Bulletindent">
    <w:name w:val="Bullet indent"/>
    <w:basedOn w:val="Bullet2"/>
    <w:uiPriority w:val="9"/>
    <w:qFormat/>
    <w:rsid w:val="00CE2B13"/>
    <w:pPr>
      <w:numPr>
        <w:ilvl w:val="2"/>
      </w:numPr>
    </w:pPr>
  </w:style>
  <w:style w:type="paragraph" w:customStyle="1" w:styleId="Heading1numbered">
    <w:name w:val="Heading 1 numbered"/>
    <w:basedOn w:val="Heading1"/>
    <w:next w:val="NormalIndent"/>
    <w:uiPriority w:val="8"/>
    <w:qFormat/>
    <w:rsid w:val="00CE2B13"/>
    <w:pPr>
      <w:numPr>
        <w:ilvl w:val="2"/>
        <w:numId w:val="4"/>
      </w:numPr>
    </w:pPr>
  </w:style>
  <w:style w:type="paragraph" w:customStyle="1" w:styleId="Heading2numbered">
    <w:name w:val="Heading 2 numbered"/>
    <w:basedOn w:val="Heading2"/>
    <w:next w:val="NormalIndent"/>
    <w:uiPriority w:val="8"/>
    <w:qFormat/>
    <w:rsid w:val="00CE2B13"/>
  </w:style>
  <w:style w:type="paragraph" w:customStyle="1" w:styleId="Heading3numbered">
    <w:name w:val="Heading 3 numbered"/>
    <w:basedOn w:val="Heading3"/>
    <w:next w:val="NormalIndent"/>
    <w:uiPriority w:val="8"/>
    <w:qFormat/>
    <w:rsid w:val="00CE2B13"/>
  </w:style>
  <w:style w:type="character" w:customStyle="1" w:styleId="Heading3Char">
    <w:name w:val="Heading 3 Char"/>
    <w:basedOn w:val="DefaultParagraphFont"/>
    <w:link w:val="Heading3"/>
    <w:rsid w:val="00601AEA"/>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CE2B13"/>
  </w:style>
  <w:style w:type="character" w:customStyle="1" w:styleId="Heading4Char">
    <w:name w:val="Heading 4 Char"/>
    <w:basedOn w:val="DefaultParagraphFont"/>
    <w:link w:val="Heading4"/>
    <w:rsid w:val="00601AEA"/>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CE2B13"/>
    <w:pPr>
      <w:spacing w:line="252" w:lineRule="auto"/>
      <w:ind w:left="792"/>
    </w:pPr>
  </w:style>
  <w:style w:type="paragraph" w:customStyle="1" w:styleId="NoteNormal">
    <w:name w:val="Note Normal"/>
    <w:basedOn w:val="Normal"/>
    <w:rsid w:val="00CE2B1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E2B13"/>
    <w:pPr>
      <w:spacing w:before="0" w:after="0" w:line="120" w:lineRule="atLeast"/>
    </w:pPr>
    <w:rPr>
      <w:rFonts w:eastAsia="Times New Roman" w:cs="Calibri"/>
      <w:spacing w:val="0"/>
      <w:sz w:val="10"/>
      <w:szCs w:val="22"/>
    </w:rPr>
  </w:style>
  <w:style w:type="paragraph" w:styleId="Subtitle">
    <w:name w:val="Subtitle"/>
    <w:link w:val="SubtitleChar"/>
    <w:uiPriority w:val="98"/>
    <w:rsid w:val="00CE2B13"/>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CE2B1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CE2B13"/>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2B13"/>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CE2B13"/>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C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13"/>
    <w:rPr>
      <w:rFonts w:ascii="Tahoma" w:hAnsi="Tahoma" w:cs="Tahoma"/>
      <w:spacing w:val="2"/>
      <w:sz w:val="16"/>
      <w:szCs w:val="16"/>
    </w:rPr>
  </w:style>
  <w:style w:type="paragraph" w:customStyle="1" w:styleId="Bulletindent2">
    <w:name w:val="Bullet indent 2"/>
    <w:basedOn w:val="Normal"/>
    <w:uiPriority w:val="9"/>
    <w:qFormat/>
    <w:rsid w:val="00CE2B13"/>
    <w:pPr>
      <w:numPr>
        <w:ilvl w:val="3"/>
        <w:numId w:val="2"/>
      </w:numPr>
      <w:spacing w:before="100"/>
      <w:contextualSpacing/>
    </w:pPr>
  </w:style>
  <w:style w:type="paragraph" w:styleId="IndexHeading">
    <w:name w:val="index heading"/>
    <w:basedOn w:val="Normal"/>
    <w:next w:val="Index1"/>
    <w:uiPriority w:val="99"/>
    <w:semiHidden/>
    <w:rsid w:val="00CE2B13"/>
    <w:rPr>
      <w:rFonts w:asciiTheme="majorHAnsi" w:eastAsiaTheme="majorEastAsia" w:hAnsiTheme="majorHAnsi" w:cstheme="majorBidi"/>
      <w:b/>
      <w:bCs/>
    </w:rPr>
  </w:style>
  <w:style w:type="paragraph" w:styleId="Header">
    <w:name w:val="header"/>
    <w:basedOn w:val="Normal"/>
    <w:link w:val="HeaderChar"/>
    <w:uiPriority w:val="99"/>
    <w:semiHidden/>
    <w:rsid w:val="00CE2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B13"/>
    <w:rPr>
      <w:spacing w:val="2"/>
    </w:rPr>
  </w:style>
  <w:style w:type="paragraph" w:styleId="Footer">
    <w:name w:val="footer"/>
    <w:basedOn w:val="Normal"/>
    <w:link w:val="FooterChar"/>
    <w:uiPriority w:val="24"/>
    <w:rsid w:val="00CE2B1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E2B13"/>
    <w:rPr>
      <w:noProof/>
      <w:spacing w:val="2"/>
      <w:sz w:val="18"/>
      <w:szCs w:val="18"/>
    </w:rPr>
  </w:style>
  <w:style w:type="character" w:styleId="PageNumber">
    <w:name w:val="page number"/>
    <w:uiPriority w:val="49"/>
    <w:semiHidden/>
    <w:rsid w:val="00CE2B13"/>
    <w:rPr>
      <w:b w:val="0"/>
      <w:color w:val="000000" w:themeColor="text1"/>
    </w:rPr>
  </w:style>
  <w:style w:type="paragraph" w:styleId="TOCHeading">
    <w:name w:val="TOC Heading"/>
    <w:basedOn w:val="Heading1"/>
    <w:next w:val="Normal"/>
    <w:uiPriority w:val="39"/>
    <w:rsid w:val="00CE2B13"/>
    <w:pPr>
      <w:spacing w:before="480" w:after="720"/>
      <w:outlineLvl w:val="9"/>
    </w:pPr>
    <w:rPr>
      <w:spacing w:val="2"/>
    </w:rPr>
  </w:style>
  <w:style w:type="paragraph" w:customStyle="1" w:styleId="NormalTight">
    <w:name w:val="Normal Tight"/>
    <w:uiPriority w:val="99"/>
    <w:semiHidden/>
    <w:rsid w:val="00CE2B1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E2B1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E2B13"/>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E2B13"/>
    <w:pPr>
      <w:spacing w:before="5800"/>
      <w:ind w:right="1382"/>
    </w:pPr>
  </w:style>
  <w:style w:type="paragraph" w:styleId="TOC4">
    <w:name w:val="toc 4"/>
    <w:basedOn w:val="TOC1"/>
    <w:next w:val="Normal"/>
    <w:uiPriority w:val="39"/>
    <w:rsid w:val="00CE2B13"/>
    <w:pPr>
      <w:ind w:left="450" w:hanging="450"/>
    </w:pPr>
    <w:rPr>
      <w:noProof/>
      <w:lang w:eastAsia="en-US"/>
    </w:rPr>
  </w:style>
  <w:style w:type="paragraph" w:styleId="TOC5">
    <w:name w:val="toc 5"/>
    <w:basedOn w:val="TOC2"/>
    <w:next w:val="Normal"/>
    <w:uiPriority w:val="39"/>
    <w:rsid w:val="00CE2B13"/>
    <w:pPr>
      <w:ind w:left="1080" w:hanging="634"/>
    </w:pPr>
    <w:rPr>
      <w:lang w:eastAsia="en-US"/>
    </w:rPr>
  </w:style>
  <w:style w:type="paragraph" w:styleId="TOC6">
    <w:name w:val="toc 6"/>
    <w:basedOn w:val="TOC3"/>
    <w:next w:val="Normal"/>
    <w:uiPriority w:val="39"/>
    <w:rsid w:val="00CE2B13"/>
    <w:pPr>
      <w:ind w:left="1800" w:hanging="720"/>
    </w:pPr>
    <w:rPr>
      <w:lang w:eastAsia="en-US"/>
    </w:rPr>
  </w:style>
  <w:style w:type="table" w:customStyle="1" w:styleId="DTFtexttable">
    <w:name w:val="DTF text table"/>
    <w:basedOn w:val="TableGrid"/>
    <w:uiPriority w:val="99"/>
    <w:rsid w:val="00CE2B13"/>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E2B1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E2B13"/>
    <w:pPr>
      <w:spacing w:before="60" w:after="60" w:line="264" w:lineRule="auto"/>
    </w:pPr>
    <w:rPr>
      <w:sz w:val="17"/>
    </w:rPr>
  </w:style>
  <w:style w:type="paragraph" w:customStyle="1" w:styleId="Tabletextright">
    <w:name w:val="Table text right"/>
    <w:basedOn w:val="Tabletext"/>
    <w:uiPriority w:val="5"/>
    <w:qFormat/>
    <w:rsid w:val="00CE2B13"/>
    <w:pPr>
      <w:jc w:val="right"/>
    </w:pPr>
  </w:style>
  <w:style w:type="paragraph" w:customStyle="1" w:styleId="Listnumindent2">
    <w:name w:val="List num indent 2"/>
    <w:basedOn w:val="Normal"/>
    <w:uiPriority w:val="9"/>
    <w:qFormat/>
    <w:rsid w:val="00CE2B13"/>
    <w:pPr>
      <w:numPr>
        <w:ilvl w:val="7"/>
        <w:numId w:val="4"/>
      </w:numPr>
      <w:spacing w:before="100"/>
      <w:contextualSpacing/>
    </w:pPr>
  </w:style>
  <w:style w:type="paragraph" w:customStyle="1" w:styleId="Listnumindent">
    <w:name w:val="List num indent"/>
    <w:basedOn w:val="Normal"/>
    <w:uiPriority w:val="9"/>
    <w:qFormat/>
    <w:rsid w:val="00CE2B13"/>
    <w:pPr>
      <w:numPr>
        <w:ilvl w:val="6"/>
        <w:numId w:val="4"/>
      </w:numPr>
      <w:spacing w:before="100"/>
    </w:pPr>
  </w:style>
  <w:style w:type="paragraph" w:customStyle="1" w:styleId="Listnum">
    <w:name w:val="List num"/>
    <w:basedOn w:val="Normal"/>
    <w:uiPriority w:val="1"/>
    <w:qFormat/>
    <w:rsid w:val="00CE2B13"/>
    <w:pPr>
      <w:numPr>
        <w:numId w:val="4"/>
      </w:numPr>
    </w:pPr>
  </w:style>
  <w:style w:type="paragraph" w:customStyle="1" w:styleId="Listnum2">
    <w:name w:val="List num 2"/>
    <w:basedOn w:val="Normal"/>
    <w:uiPriority w:val="1"/>
    <w:qFormat/>
    <w:rsid w:val="00CE2B13"/>
    <w:pPr>
      <w:numPr>
        <w:ilvl w:val="1"/>
        <w:numId w:val="4"/>
      </w:numPr>
    </w:pPr>
  </w:style>
  <w:style w:type="paragraph" w:customStyle="1" w:styleId="Tabletextcentred">
    <w:name w:val="Table text centred"/>
    <w:basedOn w:val="Tabletext"/>
    <w:uiPriority w:val="5"/>
    <w:qFormat/>
    <w:rsid w:val="00CE2B13"/>
    <w:pPr>
      <w:jc w:val="center"/>
    </w:pPr>
  </w:style>
  <w:style w:type="paragraph" w:customStyle="1" w:styleId="Tableheader">
    <w:name w:val="Table header"/>
    <w:basedOn w:val="Tabletext"/>
    <w:uiPriority w:val="5"/>
    <w:qFormat/>
    <w:rsid w:val="00CE2B1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E2B13"/>
    <w:pPr>
      <w:numPr>
        <w:numId w:val="5"/>
      </w:numPr>
      <w:contextualSpacing/>
    </w:pPr>
  </w:style>
  <w:style w:type="paragraph" w:customStyle="1" w:styleId="Tabledash">
    <w:name w:val="Table dash"/>
    <w:basedOn w:val="Tablebullet"/>
    <w:uiPriority w:val="6"/>
    <w:rsid w:val="00CE2B13"/>
    <w:pPr>
      <w:numPr>
        <w:ilvl w:val="1"/>
      </w:numPr>
    </w:pPr>
  </w:style>
  <w:style w:type="paragraph" w:customStyle="1" w:styleId="Tabletextindent">
    <w:name w:val="Table text indent"/>
    <w:basedOn w:val="Tabletext"/>
    <w:uiPriority w:val="5"/>
    <w:qFormat/>
    <w:rsid w:val="00CE2B13"/>
    <w:pPr>
      <w:ind w:left="288"/>
    </w:pPr>
  </w:style>
  <w:style w:type="paragraph" w:customStyle="1" w:styleId="Numpara">
    <w:name w:val="Num para"/>
    <w:basedOn w:val="Normal"/>
    <w:uiPriority w:val="2"/>
    <w:qFormat/>
    <w:rsid w:val="00CE2B13"/>
    <w:pPr>
      <w:numPr>
        <w:numId w:val="3"/>
      </w:numPr>
      <w:tabs>
        <w:tab w:val="left" w:pos="540"/>
      </w:tabs>
      <w:contextualSpacing/>
    </w:pPr>
  </w:style>
  <w:style w:type="paragraph" w:styleId="ListParagraph">
    <w:name w:val="List Paragraph"/>
    <w:basedOn w:val="Normal"/>
    <w:uiPriority w:val="34"/>
    <w:qFormat/>
    <w:rsid w:val="00CE2B13"/>
    <w:pPr>
      <w:ind w:left="720"/>
      <w:contextualSpacing/>
    </w:pPr>
  </w:style>
  <w:style w:type="paragraph" w:customStyle="1" w:styleId="Tablechartdiagramheading">
    <w:name w:val="Table/chart/diagram heading"/>
    <w:uiPriority w:val="4"/>
    <w:qFormat/>
    <w:rsid w:val="00CE2B1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CE2B13"/>
    <w:pPr>
      <w:spacing w:before="0" w:after="0" w:line="240" w:lineRule="auto"/>
    </w:pPr>
    <w:rPr>
      <w:sz w:val="17"/>
    </w:rPr>
  </w:style>
  <w:style w:type="character" w:customStyle="1" w:styleId="FootnoteTextChar">
    <w:name w:val="Footnote Text Char"/>
    <w:basedOn w:val="DefaultParagraphFont"/>
    <w:link w:val="FootnoteText"/>
    <w:uiPriority w:val="99"/>
    <w:semiHidden/>
    <w:rsid w:val="00CE2B13"/>
    <w:rPr>
      <w:spacing w:val="2"/>
      <w:sz w:val="17"/>
    </w:rPr>
  </w:style>
  <w:style w:type="character" w:styleId="FootnoteReference">
    <w:name w:val="footnote reference"/>
    <w:basedOn w:val="DefaultParagraphFont"/>
    <w:uiPriority w:val="99"/>
    <w:semiHidden/>
    <w:rsid w:val="00CE2B13"/>
    <w:rPr>
      <w:vertAlign w:val="superscript"/>
    </w:rPr>
  </w:style>
  <w:style w:type="table" w:customStyle="1" w:styleId="DTFfinancialtableindent">
    <w:name w:val="DTF financial table indent"/>
    <w:basedOn w:val="DTFfinancialtable"/>
    <w:uiPriority w:val="99"/>
    <w:rsid w:val="00CE2B13"/>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CE2B13"/>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CE2B13"/>
    <w:pPr>
      <w:numPr>
        <w:ilvl w:val="8"/>
        <w:numId w:val="4"/>
      </w:numPr>
      <w:tabs>
        <w:tab w:val="clear" w:pos="540"/>
      </w:tabs>
    </w:pPr>
  </w:style>
  <w:style w:type="paragraph" w:customStyle="1" w:styleId="Tablenum1">
    <w:name w:val="Table num 1"/>
    <w:basedOn w:val="Normal"/>
    <w:uiPriority w:val="6"/>
    <w:rsid w:val="00CE2B13"/>
    <w:pPr>
      <w:numPr>
        <w:ilvl w:val="2"/>
        <w:numId w:val="5"/>
      </w:numPr>
    </w:pPr>
    <w:rPr>
      <w:sz w:val="17"/>
    </w:rPr>
  </w:style>
  <w:style w:type="paragraph" w:customStyle="1" w:styleId="Tablenum2">
    <w:name w:val="Table num 2"/>
    <w:basedOn w:val="Normal"/>
    <w:uiPriority w:val="6"/>
    <w:rsid w:val="00CE2B13"/>
    <w:pPr>
      <w:numPr>
        <w:ilvl w:val="3"/>
        <w:numId w:val="5"/>
      </w:numPr>
    </w:pPr>
    <w:rPr>
      <w:sz w:val="17"/>
    </w:rPr>
  </w:style>
  <w:style w:type="paragraph" w:customStyle="1" w:styleId="NoteNormalindent">
    <w:name w:val="Note Normal indent"/>
    <w:basedOn w:val="NoteNormal"/>
    <w:uiPriority w:val="8"/>
    <w:rsid w:val="00CE2B13"/>
    <w:pPr>
      <w:ind w:left="792"/>
    </w:pPr>
  </w:style>
  <w:style w:type="paragraph" w:styleId="Caption">
    <w:name w:val="caption"/>
    <w:basedOn w:val="Normal"/>
    <w:next w:val="Normal"/>
    <w:uiPriority w:val="35"/>
    <w:rsid w:val="00CE2B13"/>
    <w:pPr>
      <w:spacing w:before="0" w:after="200" w:line="240" w:lineRule="auto"/>
    </w:pPr>
    <w:rPr>
      <w:b/>
      <w:bCs/>
      <w:color w:val="383834" w:themeColor="background2" w:themeShade="40"/>
      <w:sz w:val="18"/>
      <w:szCs w:val="18"/>
    </w:rPr>
  </w:style>
  <w:style w:type="paragraph" w:customStyle="1" w:styleId="BulletText">
    <w:name w:val="Bullet Text"/>
    <w:basedOn w:val="Normal"/>
    <w:rsid w:val="00F704B1"/>
  </w:style>
  <w:style w:type="paragraph" w:styleId="ListBullet">
    <w:name w:val="List Bullet"/>
    <w:basedOn w:val="Normal"/>
    <w:semiHidden/>
    <w:rsid w:val="00F704B1"/>
    <w:pPr>
      <w:numPr>
        <w:numId w:val="1"/>
      </w:numPr>
    </w:pPr>
  </w:style>
  <w:style w:type="character" w:styleId="CommentReference">
    <w:name w:val="annotation reference"/>
    <w:basedOn w:val="DefaultParagraphFont"/>
    <w:uiPriority w:val="99"/>
    <w:semiHidden/>
    <w:rsid w:val="000603AF"/>
    <w:rPr>
      <w:sz w:val="16"/>
      <w:szCs w:val="16"/>
    </w:rPr>
  </w:style>
  <w:style w:type="paragraph" w:styleId="CommentText">
    <w:name w:val="annotation text"/>
    <w:basedOn w:val="Normal"/>
    <w:link w:val="CommentTextChar"/>
    <w:uiPriority w:val="99"/>
    <w:semiHidden/>
    <w:rsid w:val="000603AF"/>
  </w:style>
  <w:style w:type="character" w:customStyle="1" w:styleId="CommentTextChar">
    <w:name w:val="Comment Text Char"/>
    <w:basedOn w:val="DefaultParagraphFont"/>
    <w:link w:val="CommentText"/>
    <w:uiPriority w:val="99"/>
    <w:semiHidden/>
    <w:rsid w:val="000603AF"/>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0603AF"/>
    <w:rPr>
      <w:b/>
      <w:bCs/>
    </w:rPr>
  </w:style>
  <w:style w:type="character" w:customStyle="1" w:styleId="CommentSubjectChar">
    <w:name w:val="Comment Subject Char"/>
    <w:basedOn w:val="CommentTextChar"/>
    <w:link w:val="CommentSubject"/>
    <w:uiPriority w:val="99"/>
    <w:semiHidden/>
    <w:rsid w:val="000603AF"/>
    <w:rPr>
      <w:rFonts w:ascii="Calibri" w:eastAsia="Times New Roman" w:hAnsi="Calibri" w:cs="Times New Roman"/>
      <w:b/>
      <w:bCs/>
    </w:rPr>
  </w:style>
  <w:style w:type="character" w:customStyle="1" w:styleId="apple-converted-space">
    <w:name w:val="apple-converted-space"/>
    <w:basedOn w:val="DefaultParagraphFont"/>
    <w:rsid w:val="006F37F0"/>
  </w:style>
  <w:style w:type="paragraph" w:styleId="Revision">
    <w:name w:val="Revision"/>
    <w:hidden/>
    <w:uiPriority w:val="99"/>
    <w:semiHidden/>
    <w:rsid w:val="0020394D"/>
    <w:pPr>
      <w:spacing w:after="0" w:line="240" w:lineRule="auto"/>
    </w:pPr>
    <w:rPr>
      <w:rFonts w:ascii="Calibri" w:eastAsia="Times New Roman" w:hAnsi="Calibri" w:cs="Times New Roman"/>
      <w:sz w:val="24"/>
      <w:szCs w:val="24"/>
    </w:rPr>
  </w:style>
  <w:style w:type="paragraph" w:customStyle="1" w:styleId="Tabletextbold">
    <w:name w:val="Table text bold"/>
    <w:basedOn w:val="Tabletext"/>
    <w:qFormat/>
    <w:rsid w:val="00CE2B13"/>
    <w:rPr>
      <w:rFonts w:eastAsiaTheme="minorHAnsi"/>
      <w:b/>
      <w:szCs w:val="21"/>
      <w:lang w:eastAsia="en-US"/>
    </w:rPr>
  </w:style>
  <w:style w:type="paragraph" w:customStyle="1" w:styleId="NoteNormalitalicindent">
    <w:name w:val="Note Normal italic indent"/>
    <w:basedOn w:val="Normal"/>
    <w:qFormat/>
    <w:rsid w:val="00CE2B13"/>
    <w:pPr>
      <w:spacing w:before="80" w:line="240" w:lineRule="auto"/>
      <w:ind w:left="792"/>
    </w:pPr>
    <w:rPr>
      <w:rFonts w:eastAsia="Times New Roman" w:cstheme="minorHAnsi"/>
      <w:i/>
      <w:color w:val="0063A6" w:themeColor="accent1"/>
      <w:spacing w:val="1"/>
      <w:sz w:val="16"/>
      <w:szCs w:val="16"/>
      <w:lang w:eastAsia="en-US"/>
    </w:rPr>
  </w:style>
  <w:style w:type="paragraph" w:customStyle="1" w:styleId="NormalIndent2">
    <w:name w:val="Normal Indent 2"/>
    <w:basedOn w:val="NormalIndent"/>
    <w:qFormat/>
    <w:rsid w:val="00601AEA"/>
    <w:pPr>
      <w:ind w:left="1296"/>
    </w:pPr>
  </w:style>
  <w:style w:type="character" w:styleId="FollowedHyperlink">
    <w:name w:val="FollowedHyperlink"/>
    <w:basedOn w:val="DefaultParagraphFont"/>
    <w:uiPriority w:val="99"/>
    <w:semiHidden/>
    <w:rsid w:val="00982B37"/>
    <w:rPr>
      <w:color w:val="FFFFFF" w:themeColor="followedHyperlink"/>
      <w:u w:val="single"/>
    </w:rPr>
  </w:style>
  <w:style w:type="table" w:customStyle="1" w:styleId="DTFtexttable1">
    <w:name w:val="DTF text table1"/>
    <w:basedOn w:val="TableGrid"/>
    <w:uiPriority w:val="99"/>
    <w:rsid w:val="00D95733"/>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Bullet" w:uiPriority="0"/>
    <w:lsdException w:name="Title" w:semiHidden="0" w:uiPriority="97"/>
    <w:lsdException w:name="Default Paragraph Font" w:uiPriority="1" w:unhideWhenUsed="1"/>
    <w:lsdException w:name="Body Text" w:uiPriority="49"/>
    <w:lsdException w:name="Subtitle" w:semiHidden="0" w:uiPriority="98"/>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qFormat="1"/>
  </w:latentStyles>
  <w:style w:type="paragraph" w:default="1" w:styleId="Normal">
    <w:name w:val="Normal"/>
    <w:qFormat/>
    <w:rsid w:val="00CE2B13"/>
    <w:pPr>
      <w:spacing w:before="160" w:after="100"/>
    </w:pPr>
    <w:rPr>
      <w:spacing w:val="2"/>
    </w:rPr>
  </w:style>
  <w:style w:type="paragraph" w:styleId="Heading1">
    <w:name w:val="heading 1"/>
    <w:next w:val="Normal"/>
    <w:link w:val="Heading1Char"/>
    <w:qFormat/>
    <w:rsid w:val="00CE2B13"/>
    <w:pPr>
      <w:keepNext/>
      <w:keepLines/>
      <w:spacing w:before="4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01AEA"/>
    <w:pPr>
      <w:keepNext/>
      <w:keepLines/>
      <w:spacing w:before="280" w:after="240"/>
      <w:ind w:left="792"/>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01AEA"/>
    <w:pPr>
      <w:keepNext/>
      <w:keepLines/>
      <w:spacing w:before="240" w:after="120"/>
      <w:ind w:left="792"/>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01AEA"/>
    <w:pPr>
      <w:keepNext/>
      <w:keepLines/>
      <w:spacing w:before="200" w:after="0"/>
      <w:ind w:left="792"/>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E2B1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E2B13"/>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E2B1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E2B1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E2B13"/>
    <w:pPr>
      <w:tabs>
        <w:tab w:val="right" w:leader="dot" w:pos="9000"/>
      </w:tabs>
      <w:ind w:right="432"/>
    </w:pPr>
    <w:rPr>
      <w:sz w:val="24"/>
      <w:szCs w:val="24"/>
    </w:rPr>
  </w:style>
  <w:style w:type="paragraph" w:styleId="TOC2">
    <w:name w:val="toc 2"/>
    <w:next w:val="Normal"/>
    <w:uiPriority w:val="39"/>
    <w:rsid w:val="00CE2B13"/>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E2B13"/>
    <w:pPr>
      <w:tabs>
        <w:tab w:val="right" w:leader="dot" w:pos="9000"/>
      </w:tabs>
      <w:spacing w:before="0"/>
      <w:ind w:left="851" w:right="432"/>
      <w:contextualSpacing/>
    </w:pPr>
    <w:rPr>
      <w:noProof/>
      <w:sz w:val="18"/>
      <w:szCs w:val="18"/>
    </w:rPr>
  </w:style>
  <w:style w:type="paragraph" w:styleId="Index1">
    <w:name w:val="index 1"/>
    <w:basedOn w:val="Normal"/>
    <w:next w:val="Normal"/>
    <w:uiPriority w:val="99"/>
    <w:semiHidden/>
    <w:rsid w:val="00CE2B13"/>
    <w:pPr>
      <w:spacing w:after="60" w:line="240" w:lineRule="auto"/>
    </w:pPr>
    <w:rPr>
      <w:sz w:val="16"/>
    </w:rPr>
  </w:style>
  <w:style w:type="paragraph" w:styleId="Index2">
    <w:name w:val="index 2"/>
    <w:basedOn w:val="Normal"/>
    <w:next w:val="Normal"/>
    <w:uiPriority w:val="99"/>
    <w:semiHidden/>
    <w:rsid w:val="00CE2B13"/>
    <w:pPr>
      <w:spacing w:after="0" w:line="240" w:lineRule="auto"/>
      <w:ind w:left="216"/>
    </w:pPr>
    <w:rPr>
      <w:sz w:val="16"/>
      <w:szCs w:val="16"/>
    </w:rPr>
  </w:style>
  <w:style w:type="character" w:styleId="Hyperlink">
    <w:name w:val="Hyperlink"/>
    <w:basedOn w:val="DefaultParagraphFont"/>
    <w:uiPriority w:val="99"/>
    <w:rsid w:val="00CE2B13"/>
    <w:rPr>
      <w:color w:val="0063A6" w:themeColor="accent1"/>
      <w:u w:val="none"/>
    </w:rPr>
  </w:style>
  <w:style w:type="character" w:customStyle="1" w:styleId="Heading1Char">
    <w:name w:val="Heading 1 Char"/>
    <w:basedOn w:val="DefaultParagraphFont"/>
    <w:link w:val="Heading1"/>
    <w:rsid w:val="00CE2B1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01AEA"/>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CE2B13"/>
    <w:pPr>
      <w:numPr>
        <w:numId w:val="2"/>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CE2B13"/>
    <w:pPr>
      <w:numPr>
        <w:ilvl w:val="1"/>
      </w:numPr>
    </w:pPr>
  </w:style>
  <w:style w:type="paragraph" w:customStyle="1" w:styleId="Bulletindent">
    <w:name w:val="Bullet indent"/>
    <w:basedOn w:val="Bullet2"/>
    <w:uiPriority w:val="9"/>
    <w:qFormat/>
    <w:rsid w:val="00CE2B13"/>
    <w:pPr>
      <w:numPr>
        <w:ilvl w:val="2"/>
      </w:numPr>
    </w:pPr>
  </w:style>
  <w:style w:type="paragraph" w:customStyle="1" w:styleId="Heading1numbered">
    <w:name w:val="Heading 1 numbered"/>
    <w:basedOn w:val="Heading1"/>
    <w:next w:val="NormalIndent"/>
    <w:uiPriority w:val="8"/>
    <w:qFormat/>
    <w:rsid w:val="00CE2B13"/>
    <w:pPr>
      <w:numPr>
        <w:ilvl w:val="2"/>
        <w:numId w:val="4"/>
      </w:numPr>
    </w:pPr>
  </w:style>
  <w:style w:type="paragraph" w:customStyle="1" w:styleId="Heading2numbered">
    <w:name w:val="Heading 2 numbered"/>
    <w:basedOn w:val="Heading2"/>
    <w:next w:val="NormalIndent"/>
    <w:uiPriority w:val="8"/>
    <w:qFormat/>
    <w:rsid w:val="00CE2B13"/>
  </w:style>
  <w:style w:type="paragraph" w:customStyle="1" w:styleId="Heading3numbered">
    <w:name w:val="Heading 3 numbered"/>
    <w:basedOn w:val="Heading3"/>
    <w:next w:val="NormalIndent"/>
    <w:uiPriority w:val="8"/>
    <w:qFormat/>
    <w:rsid w:val="00CE2B13"/>
  </w:style>
  <w:style w:type="character" w:customStyle="1" w:styleId="Heading3Char">
    <w:name w:val="Heading 3 Char"/>
    <w:basedOn w:val="DefaultParagraphFont"/>
    <w:link w:val="Heading3"/>
    <w:rsid w:val="00601AEA"/>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CE2B13"/>
  </w:style>
  <w:style w:type="character" w:customStyle="1" w:styleId="Heading4Char">
    <w:name w:val="Heading 4 Char"/>
    <w:basedOn w:val="DefaultParagraphFont"/>
    <w:link w:val="Heading4"/>
    <w:rsid w:val="00601AEA"/>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CE2B13"/>
    <w:pPr>
      <w:spacing w:line="252" w:lineRule="auto"/>
      <w:ind w:left="792"/>
    </w:pPr>
  </w:style>
  <w:style w:type="paragraph" w:customStyle="1" w:styleId="NoteNormal">
    <w:name w:val="Note Normal"/>
    <w:basedOn w:val="Normal"/>
    <w:rsid w:val="00CE2B1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E2B13"/>
    <w:pPr>
      <w:spacing w:before="0" w:after="0" w:line="120" w:lineRule="atLeast"/>
    </w:pPr>
    <w:rPr>
      <w:rFonts w:eastAsia="Times New Roman" w:cs="Calibri"/>
      <w:spacing w:val="0"/>
      <w:sz w:val="10"/>
      <w:szCs w:val="22"/>
    </w:rPr>
  </w:style>
  <w:style w:type="paragraph" w:styleId="Subtitle">
    <w:name w:val="Subtitle"/>
    <w:link w:val="SubtitleChar"/>
    <w:uiPriority w:val="98"/>
    <w:rsid w:val="00CE2B13"/>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CE2B13"/>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CE2B13"/>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E2B13"/>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CE2B13"/>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CE2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13"/>
    <w:rPr>
      <w:rFonts w:ascii="Tahoma" w:hAnsi="Tahoma" w:cs="Tahoma"/>
      <w:spacing w:val="2"/>
      <w:sz w:val="16"/>
      <w:szCs w:val="16"/>
    </w:rPr>
  </w:style>
  <w:style w:type="paragraph" w:customStyle="1" w:styleId="Bulletindent2">
    <w:name w:val="Bullet indent 2"/>
    <w:basedOn w:val="Normal"/>
    <w:uiPriority w:val="9"/>
    <w:qFormat/>
    <w:rsid w:val="00CE2B13"/>
    <w:pPr>
      <w:numPr>
        <w:ilvl w:val="3"/>
        <w:numId w:val="2"/>
      </w:numPr>
      <w:spacing w:before="100"/>
      <w:contextualSpacing/>
    </w:pPr>
  </w:style>
  <w:style w:type="paragraph" w:styleId="IndexHeading">
    <w:name w:val="index heading"/>
    <w:basedOn w:val="Normal"/>
    <w:next w:val="Index1"/>
    <w:uiPriority w:val="99"/>
    <w:semiHidden/>
    <w:rsid w:val="00CE2B13"/>
    <w:rPr>
      <w:rFonts w:asciiTheme="majorHAnsi" w:eastAsiaTheme="majorEastAsia" w:hAnsiTheme="majorHAnsi" w:cstheme="majorBidi"/>
      <w:b/>
      <w:bCs/>
    </w:rPr>
  </w:style>
  <w:style w:type="paragraph" w:styleId="Header">
    <w:name w:val="header"/>
    <w:basedOn w:val="Normal"/>
    <w:link w:val="HeaderChar"/>
    <w:uiPriority w:val="99"/>
    <w:semiHidden/>
    <w:rsid w:val="00CE2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B13"/>
    <w:rPr>
      <w:spacing w:val="2"/>
    </w:rPr>
  </w:style>
  <w:style w:type="paragraph" w:styleId="Footer">
    <w:name w:val="footer"/>
    <w:basedOn w:val="Normal"/>
    <w:link w:val="FooterChar"/>
    <w:uiPriority w:val="24"/>
    <w:rsid w:val="00CE2B1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CE2B13"/>
    <w:rPr>
      <w:noProof/>
      <w:spacing w:val="2"/>
      <w:sz w:val="18"/>
      <w:szCs w:val="18"/>
    </w:rPr>
  </w:style>
  <w:style w:type="character" w:styleId="PageNumber">
    <w:name w:val="page number"/>
    <w:uiPriority w:val="49"/>
    <w:semiHidden/>
    <w:rsid w:val="00CE2B13"/>
    <w:rPr>
      <w:b w:val="0"/>
      <w:color w:val="000000" w:themeColor="text1"/>
    </w:rPr>
  </w:style>
  <w:style w:type="paragraph" w:styleId="TOCHeading">
    <w:name w:val="TOC Heading"/>
    <w:basedOn w:val="Heading1"/>
    <w:next w:val="Normal"/>
    <w:uiPriority w:val="39"/>
    <w:rsid w:val="00CE2B13"/>
    <w:pPr>
      <w:spacing w:before="480" w:after="720"/>
      <w:outlineLvl w:val="9"/>
    </w:pPr>
    <w:rPr>
      <w:spacing w:val="2"/>
    </w:rPr>
  </w:style>
  <w:style w:type="paragraph" w:customStyle="1" w:styleId="NormalTight">
    <w:name w:val="Normal Tight"/>
    <w:uiPriority w:val="99"/>
    <w:semiHidden/>
    <w:rsid w:val="00CE2B1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E2B13"/>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E2B13"/>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E2B13"/>
    <w:pPr>
      <w:spacing w:before="5800"/>
      <w:ind w:right="1382"/>
    </w:pPr>
  </w:style>
  <w:style w:type="paragraph" w:styleId="TOC4">
    <w:name w:val="toc 4"/>
    <w:basedOn w:val="TOC1"/>
    <w:next w:val="Normal"/>
    <w:uiPriority w:val="39"/>
    <w:rsid w:val="00CE2B13"/>
    <w:pPr>
      <w:ind w:left="450" w:hanging="450"/>
    </w:pPr>
    <w:rPr>
      <w:noProof/>
      <w:lang w:eastAsia="en-US"/>
    </w:rPr>
  </w:style>
  <w:style w:type="paragraph" w:styleId="TOC5">
    <w:name w:val="toc 5"/>
    <w:basedOn w:val="TOC2"/>
    <w:next w:val="Normal"/>
    <w:uiPriority w:val="39"/>
    <w:rsid w:val="00CE2B13"/>
    <w:pPr>
      <w:ind w:left="1080" w:hanging="634"/>
    </w:pPr>
    <w:rPr>
      <w:lang w:eastAsia="en-US"/>
    </w:rPr>
  </w:style>
  <w:style w:type="paragraph" w:styleId="TOC6">
    <w:name w:val="toc 6"/>
    <w:basedOn w:val="TOC3"/>
    <w:next w:val="Normal"/>
    <w:uiPriority w:val="39"/>
    <w:rsid w:val="00CE2B13"/>
    <w:pPr>
      <w:ind w:left="1800" w:hanging="720"/>
    </w:pPr>
    <w:rPr>
      <w:lang w:eastAsia="en-US"/>
    </w:rPr>
  </w:style>
  <w:style w:type="table" w:customStyle="1" w:styleId="DTFtexttable">
    <w:name w:val="DTF text table"/>
    <w:basedOn w:val="TableGrid"/>
    <w:uiPriority w:val="99"/>
    <w:rsid w:val="00CE2B13"/>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E2B13"/>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CE2B13"/>
    <w:pPr>
      <w:spacing w:before="60" w:after="60" w:line="264" w:lineRule="auto"/>
    </w:pPr>
    <w:rPr>
      <w:sz w:val="17"/>
    </w:rPr>
  </w:style>
  <w:style w:type="paragraph" w:customStyle="1" w:styleId="Tabletextright">
    <w:name w:val="Table text right"/>
    <w:basedOn w:val="Tabletext"/>
    <w:uiPriority w:val="5"/>
    <w:qFormat/>
    <w:rsid w:val="00CE2B13"/>
    <w:pPr>
      <w:jc w:val="right"/>
    </w:pPr>
  </w:style>
  <w:style w:type="paragraph" w:customStyle="1" w:styleId="Listnumindent2">
    <w:name w:val="List num indent 2"/>
    <w:basedOn w:val="Normal"/>
    <w:uiPriority w:val="9"/>
    <w:qFormat/>
    <w:rsid w:val="00CE2B13"/>
    <w:pPr>
      <w:numPr>
        <w:ilvl w:val="7"/>
        <w:numId w:val="4"/>
      </w:numPr>
      <w:spacing w:before="100"/>
      <w:contextualSpacing/>
    </w:pPr>
  </w:style>
  <w:style w:type="paragraph" w:customStyle="1" w:styleId="Listnumindent">
    <w:name w:val="List num indent"/>
    <w:basedOn w:val="Normal"/>
    <w:uiPriority w:val="9"/>
    <w:qFormat/>
    <w:rsid w:val="00CE2B13"/>
    <w:pPr>
      <w:numPr>
        <w:ilvl w:val="6"/>
        <w:numId w:val="4"/>
      </w:numPr>
      <w:spacing w:before="100"/>
    </w:pPr>
  </w:style>
  <w:style w:type="paragraph" w:customStyle="1" w:styleId="Listnum">
    <w:name w:val="List num"/>
    <w:basedOn w:val="Normal"/>
    <w:uiPriority w:val="1"/>
    <w:qFormat/>
    <w:rsid w:val="00CE2B13"/>
    <w:pPr>
      <w:numPr>
        <w:numId w:val="4"/>
      </w:numPr>
    </w:pPr>
  </w:style>
  <w:style w:type="paragraph" w:customStyle="1" w:styleId="Listnum2">
    <w:name w:val="List num 2"/>
    <w:basedOn w:val="Normal"/>
    <w:uiPriority w:val="1"/>
    <w:qFormat/>
    <w:rsid w:val="00CE2B13"/>
    <w:pPr>
      <w:numPr>
        <w:ilvl w:val="1"/>
        <w:numId w:val="4"/>
      </w:numPr>
    </w:pPr>
  </w:style>
  <w:style w:type="paragraph" w:customStyle="1" w:styleId="Tabletextcentred">
    <w:name w:val="Table text centred"/>
    <w:basedOn w:val="Tabletext"/>
    <w:uiPriority w:val="5"/>
    <w:qFormat/>
    <w:rsid w:val="00CE2B13"/>
    <w:pPr>
      <w:jc w:val="center"/>
    </w:pPr>
  </w:style>
  <w:style w:type="paragraph" w:customStyle="1" w:styleId="Tableheader">
    <w:name w:val="Table header"/>
    <w:basedOn w:val="Tabletext"/>
    <w:uiPriority w:val="5"/>
    <w:qFormat/>
    <w:rsid w:val="00CE2B1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CE2B13"/>
    <w:pPr>
      <w:numPr>
        <w:numId w:val="5"/>
      </w:numPr>
      <w:contextualSpacing/>
    </w:pPr>
  </w:style>
  <w:style w:type="paragraph" w:customStyle="1" w:styleId="Tabledash">
    <w:name w:val="Table dash"/>
    <w:basedOn w:val="Tablebullet"/>
    <w:uiPriority w:val="6"/>
    <w:rsid w:val="00CE2B13"/>
    <w:pPr>
      <w:numPr>
        <w:ilvl w:val="1"/>
      </w:numPr>
    </w:pPr>
  </w:style>
  <w:style w:type="paragraph" w:customStyle="1" w:styleId="Tabletextindent">
    <w:name w:val="Table text indent"/>
    <w:basedOn w:val="Tabletext"/>
    <w:uiPriority w:val="5"/>
    <w:qFormat/>
    <w:rsid w:val="00CE2B13"/>
    <w:pPr>
      <w:ind w:left="288"/>
    </w:pPr>
  </w:style>
  <w:style w:type="paragraph" w:customStyle="1" w:styleId="Numpara">
    <w:name w:val="Num para"/>
    <w:basedOn w:val="Normal"/>
    <w:uiPriority w:val="2"/>
    <w:qFormat/>
    <w:rsid w:val="00CE2B13"/>
    <w:pPr>
      <w:numPr>
        <w:numId w:val="3"/>
      </w:numPr>
      <w:tabs>
        <w:tab w:val="left" w:pos="540"/>
      </w:tabs>
      <w:contextualSpacing/>
    </w:pPr>
  </w:style>
  <w:style w:type="paragraph" w:styleId="ListParagraph">
    <w:name w:val="List Paragraph"/>
    <w:basedOn w:val="Normal"/>
    <w:uiPriority w:val="34"/>
    <w:qFormat/>
    <w:rsid w:val="00CE2B13"/>
    <w:pPr>
      <w:ind w:left="720"/>
      <w:contextualSpacing/>
    </w:pPr>
  </w:style>
  <w:style w:type="paragraph" w:customStyle="1" w:styleId="Tablechartdiagramheading">
    <w:name w:val="Table/chart/diagram heading"/>
    <w:uiPriority w:val="4"/>
    <w:qFormat/>
    <w:rsid w:val="00CE2B13"/>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CE2B13"/>
    <w:pPr>
      <w:spacing w:before="0" w:after="0" w:line="240" w:lineRule="auto"/>
    </w:pPr>
    <w:rPr>
      <w:sz w:val="17"/>
    </w:rPr>
  </w:style>
  <w:style w:type="character" w:customStyle="1" w:styleId="FootnoteTextChar">
    <w:name w:val="Footnote Text Char"/>
    <w:basedOn w:val="DefaultParagraphFont"/>
    <w:link w:val="FootnoteText"/>
    <w:uiPriority w:val="99"/>
    <w:semiHidden/>
    <w:rsid w:val="00CE2B13"/>
    <w:rPr>
      <w:spacing w:val="2"/>
      <w:sz w:val="17"/>
    </w:rPr>
  </w:style>
  <w:style w:type="character" w:styleId="FootnoteReference">
    <w:name w:val="footnote reference"/>
    <w:basedOn w:val="DefaultParagraphFont"/>
    <w:uiPriority w:val="99"/>
    <w:semiHidden/>
    <w:rsid w:val="00CE2B13"/>
    <w:rPr>
      <w:vertAlign w:val="superscript"/>
    </w:rPr>
  </w:style>
  <w:style w:type="table" w:customStyle="1" w:styleId="DTFfinancialtableindent">
    <w:name w:val="DTF financial table indent"/>
    <w:basedOn w:val="DTFfinancialtable"/>
    <w:uiPriority w:val="99"/>
    <w:rsid w:val="00CE2B13"/>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CE2B13"/>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CE2B13"/>
    <w:pPr>
      <w:numPr>
        <w:ilvl w:val="8"/>
        <w:numId w:val="4"/>
      </w:numPr>
      <w:tabs>
        <w:tab w:val="clear" w:pos="540"/>
      </w:tabs>
    </w:pPr>
  </w:style>
  <w:style w:type="paragraph" w:customStyle="1" w:styleId="Tablenum1">
    <w:name w:val="Table num 1"/>
    <w:basedOn w:val="Normal"/>
    <w:uiPriority w:val="6"/>
    <w:rsid w:val="00CE2B13"/>
    <w:pPr>
      <w:numPr>
        <w:ilvl w:val="2"/>
        <w:numId w:val="5"/>
      </w:numPr>
    </w:pPr>
    <w:rPr>
      <w:sz w:val="17"/>
    </w:rPr>
  </w:style>
  <w:style w:type="paragraph" w:customStyle="1" w:styleId="Tablenum2">
    <w:name w:val="Table num 2"/>
    <w:basedOn w:val="Normal"/>
    <w:uiPriority w:val="6"/>
    <w:rsid w:val="00CE2B13"/>
    <w:pPr>
      <w:numPr>
        <w:ilvl w:val="3"/>
        <w:numId w:val="5"/>
      </w:numPr>
    </w:pPr>
    <w:rPr>
      <w:sz w:val="17"/>
    </w:rPr>
  </w:style>
  <w:style w:type="paragraph" w:customStyle="1" w:styleId="NoteNormalindent">
    <w:name w:val="Note Normal indent"/>
    <w:basedOn w:val="NoteNormal"/>
    <w:uiPriority w:val="8"/>
    <w:rsid w:val="00CE2B13"/>
    <w:pPr>
      <w:ind w:left="792"/>
    </w:pPr>
  </w:style>
  <w:style w:type="paragraph" w:styleId="Caption">
    <w:name w:val="caption"/>
    <w:basedOn w:val="Normal"/>
    <w:next w:val="Normal"/>
    <w:uiPriority w:val="35"/>
    <w:rsid w:val="00CE2B13"/>
    <w:pPr>
      <w:spacing w:before="0" w:after="200" w:line="240" w:lineRule="auto"/>
    </w:pPr>
    <w:rPr>
      <w:b/>
      <w:bCs/>
      <w:color w:val="383834" w:themeColor="background2" w:themeShade="40"/>
      <w:sz w:val="18"/>
      <w:szCs w:val="18"/>
    </w:rPr>
  </w:style>
  <w:style w:type="paragraph" w:customStyle="1" w:styleId="BulletText">
    <w:name w:val="Bullet Text"/>
    <w:basedOn w:val="Normal"/>
    <w:rsid w:val="00F704B1"/>
  </w:style>
  <w:style w:type="paragraph" w:styleId="ListBullet">
    <w:name w:val="List Bullet"/>
    <w:basedOn w:val="Normal"/>
    <w:semiHidden/>
    <w:rsid w:val="00F704B1"/>
    <w:pPr>
      <w:numPr>
        <w:numId w:val="1"/>
      </w:numPr>
    </w:pPr>
  </w:style>
  <w:style w:type="character" w:styleId="CommentReference">
    <w:name w:val="annotation reference"/>
    <w:basedOn w:val="DefaultParagraphFont"/>
    <w:uiPriority w:val="99"/>
    <w:semiHidden/>
    <w:rsid w:val="000603AF"/>
    <w:rPr>
      <w:sz w:val="16"/>
      <w:szCs w:val="16"/>
    </w:rPr>
  </w:style>
  <w:style w:type="paragraph" w:styleId="CommentText">
    <w:name w:val="annotation text"/>
    <w:basedOn w:val="Normal"/>
    <w:link w:val="CommentTextChar"/>
    <w:uiPriority w:val="99"/>
    <w:semiHidden/>
    <w:rsid w:val="000603AF"/>
  </w:style>
  <w:style w:type="character" w:customStyle="1" w:styleId="CommentTextChar">
    <w:name w:val="Comment Text Char"/>
    <w:basedOn w:val="DefaultParagraphFont"/>
    <w:link w:val="CommentText"/>
    <w:uiPriority w:val="99"/>
    <w:semiHidden/>
    <w:rsid w:val="000603AF"/>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0603AF"/>
    <w:rPr>
      <w:b/>
      <w:bCs/>
    </w:rPr>
  </w:style>
  <w:style w:type="character" w:customStyle="1" w:styleId="CommentSubjectChar">
    <w:name w:val="Comment Subject Char"/>
    <w:basedOn w:val="CommentTextChar"/>
    <w:link w:val="CommentSubject"/>
    <w:uiPriority w:val="99"/>
    <w:semiHidden/>
    <w:rsid w:val="000603AF"/>
    <w:rPr>
      <w:rFonts w:ascii="Calibri" w:eastAsia="Times New Roman" w:hAnsi="Calibri" w:cs="Times New Roman"/>
      <w:b/>
      <w:bCs/>
    </w:rPr>
  </w:style>
  <w:style w:type="character" w:customStyle="1" w:styleId="apple-converted-space">
    <w:name w:val="apple-converted-space"/>
    <w:basedOn w:val="DefaultParagraphFont"/>
    <w:rsid w:val="006F37F0"/>
  </w:style>
  <w:style w:type="paragraph" w:styleId="Revision">
    <w:name w:val="Revision"/>
    <w:hidden/>
    <w:uiPriority w:val="99"/>
    <w:semiHidden/>
    <w:rsid w:val="0020394D"/>
    <w:pPr>
      <w:spacing w:after="0" w:line="240" w:lineRule="auto"/>
    </w:pPr>
    <w:rPr>
      <w:rFonts w:ascii="Calibri" w:eastAsia="Times New Roman" w:hAnsi="Calibri" w:cs="Times New Roman"/>
      <w:sz w:val="24"/>
      <w:szCs w:val="24"/>
    </w:rPr>
  </w:style>
  <w:style w:type="paragraph" w:customStyle="1" w:styleId="Tabletextbold">
    <w:name w:val="Table text bold"/>
    <w:basedOn w:val="Tabletext"/>
    <w:qFormat/>
    <w:rsid w:val="00CE2B13"/>
    <w:rPr>
      <w:rFonts w:eastAsiaTheme="minorHAnsi"/>
      <w:b/>
      <w:szCs w:val="21"/>
      <w:lang w:eastAsia="en-US"/>
    </w:rPr>
  </w:style>
  <w:style w:type="paragraph" w:customStyle="1" w:styleId="NoteNormalitalicindent">
    <w:name w:val="Note Normal italic indent"/>
    <w:basedOn w:val="Normal"/>
    <w:qFormat/>
    <w:rsid w:val="00CE2B13"/>
    <w:pPr>
      <w:spacing w:before="80" w:line="240" w:lineRule="auto"/>
      <w:ind w:left="792"/>
    </w:pPr>
    <w:rPr>
      <w:rFonts w:eastAsia="Times New Roman" w:cstheme="minorHAnsi"/>
      <w:i/>
      <w:color w:val="0063A6" w:themeColor="accent1"/>
      <w:spacing w:val="1"/>
      <w:sz w:val="16"/>
      <w:szCs w:val="16"/>
      <w:lang w:eastAsia="en-US"/>
    </w:rPr>
  </w:style>
  <w:style w:type="paragraph" w:customStyle="1" w:styleId="NormalIndent2">
    <w:name w:val="Normal Indent 2"/>
    <w:basedOn w:val="NormalIndent"/>
    <w:qFormat/>
    <w:rsid w:val="00601AEA"/>
    <w:pPr>
      <w:ind w:left="1296"/>
    </w:pPr>
  </w:style>
  <w:style w:type="character" w:styleId="FollowedHyperlink">
    <w:name w:val="FollowedHyperlink"/>
    <w:basedOn w:val="DefaultParagraphFont"/>
    <w:uiPriority w:val="99"/>
    <w:semiHidden/>
    <w:rsid w:val="00982B37"/>
    <w:rPr>
      <w:color w:val="FFFFFF" w:themeColor="followedHyperlink"/>
      <w:u w:val="single"/>
    </w:rPr>
  </w:style>
  <w:style w:type="table" w:customStyle="1" w:styleId="DTFtexttable1">
    <w:name w:val="DTF text table1"/>
    <w:basedOn w:val="TableGrid"/>
    <w:uiPriority w:val="99"/>
    <w:rsid w:val="00D95733"/>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tf.vic.gov.au/Publications/Government-Financial-Management-publications/Planning-Budgeting-and-Financial-Reporting-Frameworks-publications" TargetMode="External"/><Relationship Id="rId4" Type="http://schemas.microsoft.com/office/2007/relationships/stylesWithEffects" Target="stylesWithEffects.xml"/><Relationship Id="rId9" Type="http://schemas.openxmlformats.org/officeDocument/2006/relationships/hyperlink" Target="https://www.vec.vic.gov.au/ElectoralBoundaries/LocalCouncilMap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FFFFFF"/>
      </a:hlink>
      <a:folHlink>
        <a:srgbClr val="FFFFFF"/>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9674-5B54-4E85-903F-2C02DE1E3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10</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Koschmann (DTF)</dc:creator>
  <cp:lastModifiedBy>Louise Koschmann</cp:lastModifiedBy>
  <cp:revision>2</cp:revision>
  <cp:lastPrinted>2017-09-06T05:25:00Z</cp:lastPrinted>
  <dcterms:created xsi:type="dcterms:W3CDTF">2018-01-31T02:26:00Z</dcterms:created>
  <dcterms:modified xsi:type="dcterms:W3CDTF">2018-01-31T02:26:00Z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6c87d8ab-2794-4822-82bc-710d7afe4454</vt:lpwstr>
  </property>
  <property fmtid="{D5CDD505-2E9C-101B-9397-08002B2CF9AE}" pid="3" name="PSPFClassification">
    <vt:lpwstr>Do Not Mark</vt:lpwstr>
  </property>
</Properties>
</file>